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519A6" w14:textId="6B20EB32" w:rsidR="005B16E2" w:rsidRPr="00CF51CD" w:rsidRDefault="005B16E2" w:rsidP="0078419B">
      <w:pPr>
        <w:widowControl w:val="0"/>
        <w:tabs>
          <w:tab w:val="center" w:pos="4252"/>
          <w:tab w:val="right" w:pos="8280"/>
          <w:tab w:val="right" w:pos="8504"/>
          <w:tab w:val="right" w:pos="9781"/>
        </w:tabs>
        <w:overflowPunct/>
        <w:autoSpaceDE/>
        <w:autoSpaceDN/>
        <w:adjustRightInd/>
        <w:snapToGrid w:val="0"/>
        <w:spacing w:after="0" w:line="276" w:lineRule="auto"/>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r w:rsidRPr="005B16E2">
        <w:rPr>
          <w:rFonts w:ascii="Arial" w:eastAsia="바탕" w:hAnsi="Arial" w:cs="Arial"/>
          <w:b/>
          <w:bCs/>
          <w:sz w:val="24"/>
          <w:szCs w:val="24"/>
          <w:lang w:eastAsia="en-US"/>
        </w:rPr>
        <w:t xml:space="preserve">3GPP TSG RAN WG1 </w:t>
      </w:r>
      <w:r w:rsidR="00030476">
        <w:rPr>
          <w:rFonts w:ascii="Arial" w:eastAsia="바탕" w:hAnsi="Arial" w:cs="Arial" w:hint="eastAsia"/>
          <w:b/>
          <w:bCs/>
          <w:sz w:val="24"/>
          <w:szCs w:val="24"/>
          <w:lang w:eastAsia="ko-KR"/>
        </w:rPr>
        <w:t xml:space="preserve">Meeting </w:t>
      </w:r>
      <w:r w:rsidR="006456AF">
        <w:rPr>
          <w:rFonts w:ascii="Arial" w:eastAsiaTheme="minorEastAsia" w:hAnsi="Arial" w:cs="Arial" w:hint="eastAsia"/>
          <w:b/>
          <w:bCs/>
          <w:sz w:val="24"/>
          <w:szCs w:val="24"/>
          <w:lang w:eastAsia="ko-KR"/>
        </w:rPr>
        <w:t>#</w:t>
      </w:r>
      <w:r w:rsidR="006E035B">
        <w:rPr>
          <w:rFonts w:ascii="Arial" w:eastAsiaTheme="minorEastAsia" w:hAnsi="Arial" w:cs="Arial"/>
          <w:b/>
          <w:bCs/>
          <w:sz w:val="24"/>
          <w:szCs w:val="24"/>
          <w:lang w:eastAsia="ko-KR"/>
        </w:rPr>
        <w:t>90</w:t>
      </w:r>
      <w:r w:rsidR="00B93783">
        <w:rPr>
          <w:rFonts w:ascii="Arial" w:eastAsiaTheme="minorEastAsia" w:hAnsi="Arial" w:cs="Arial"/>
          <w:b/>
          <w:bCs/>
          <w:sz w:val="24"/>
          <w:szCs w:val="24"/>
          <w:lang w:eastAsia="ko-KR"/>
        </w:rPr>
        <w:t>bis</w:t>
      </w:r>
      <w:r w:rsidR="006E035B" w:rsidRPr="005B16E2">
        <w:rPr>
          <w:rFonts w:ascii="Arial" w:eastAsia="MS Mincho" w:hAnsi="Arial" w:cs="Arial" w:hint="eastAsia"/>
          <w:b/>
          <w:bCs/>
          <w:sz w:val="24"/>
          <w:szCs w:val="24"/>
          <w:lang w:eastAsia="ja-JP"/>
        </w:rPr>
        <w:t xml:space="preserve">                         </w:t>
      </w:r>
      <w:r w:rsidR="006E035B">
        <w:rPr>
          <w:rFonts w:ascii="Arial" w:eastAsiaTheme="minorEastAsia" w:hAnsi="Arial" w:cs="Arial" w:hint="eastAsia"/>
          <w:b/>
          <w:bCs/>
          <w:sz w:val="24"/>
          <w:szCs w:val="24"/>
          <w:lang w:eastAsia="ko-KR"/>
        </w:rPr>
        <w:t xml:space="preserve">                        </w:t>
      </w:r>
      <w:r w:rsidR="006456AF">
        <w:rPr>
          <w:rFonts w:ascii="Arial" w:eastAsiaTheme="minorEastAsia" w:hAnsi="Arial" w:cs="Arial" w:hint="eastAsia"/>
          <w:b/>
          <w:bCs/>
          <w:sz w:val="24"/>
          <w:szCs w:val="24"/>
          <w:lang w:eastAsia="ko-KR"/>
        </w:rPr>
        <w:tab/>
      </w:r>
      <w:r w:rsidR="006456AF">
        <w:rPr>
          <w:rFonts w:ascii="Arial" w:eastAsiaTheme="minorEastAsia" w:hAnsi="Arial" w:cs="Arial" w:hint="eastAsia"/>
          <w:b/>
          <w:bCs/>
          <w:sz w:val="24"/>
          <w:szCs w:val="24"/>
          <w:lang w:eastAsia="ko-KR"/>
        </w:rPr>
        <w:tab/>
      </w:r>
      <w:r w:rsidR="006E035B" w:rsidRPr="006E035B">
        <w:rPr>
          <w:rFonts w:ascii="Arial" w:eastAsia="MS Mincho" w:hAnsi="Arial" w:cs="Arial"/>
          <w:b/>
          <w:bCs/>
          <w:sz w:val="24"/>
          <w:szCs w:val="24"/>
          <w:lang w:eastAsia="ja-JP"/>
        </w:rPr>
        <w:t>R1-171</w:t>
      </w:r>
      <w:r w:rsidR="00882632">
        <w:rPr>
          <w:rFonts w:ascii="Arial" w:eastAsia="MS Mincho" w:hAnsi="Arial" w:cs="Arial"/>
          <w:b/>
          <w:bCs/>
          <w:sz w:val="24"/>
          <w:szCs w:val="24"/>
          <w:lang w:eastAsia="ja-JP"/>
        </w:rPr>
        <w:t>7286</w:t>
      </w:r>
    </w:p>
    <w:p w14:paraId="00649688" w14:textId="6A8B8416" w:rsidR="00197EC1" w:rsidRDefault="006E035B" w:rsidP="0078419B">
      <w:pPr>
        <w:pStyle w:val="a8"/>
        <w:spacing w:line="276" w:lineRule="auto"/>
      </w:pPr>
      <w:r w:rsidRPr="006E035B">
        <w:rPr>
          <w:rFonts w:ascii="Arial" w:eastAsiaTheme="minorEastAsia" w:hAnsi="Arial" w:cs="Arial"/>
          <w:b/>
          <w:bCs/>
          <w:sz w:val="24"/>
          <w:szCs w:val="24"/>
          <w:lang w:eastAsia="ko-KR"/>
        </w:rPr>
        <w:t xml:space="preserve">Prague, Czech Republic, </w:t>
      </w:r>
      <w:r w:rsidR="00B93783">
        <w:rPr>
          <w:rFonts w:ascii="Arial" w:eastAsiaTheme="minorEastAsia" w:hAnsi="Arial" w:cs="Arial"/>
          <w:b/>
          <w:bCs/>
          <w:sz w:val="24"/>
          <w:szCs w:val="24"/>
          <w:lang w:eastAsia="ko-KR"/>
        </w:rPr>
        <w:t>9</w:t>
      </w:r>
      <w:r w:rsidR="00B93783" w:rsidRPr="00B93783">
        <w:rPr>
          <w:rFonts w:ascii="Arial" w:eastAsiaTheme="minorEastAsia" w:hAnsi="Arial" w:cs="Arial"/>
          <w:b/>
          <w:bCs/>
          <w:sz w:val="24"/>
          <w:szCs w:val="24"/>
          <w:vertAlign w:val="superscript"/>
          <w:lang w:eastAsia="ko-KR"/>
        </w:rPr>
        <w:t>th</w:t>
      </w:r>
      <w:r w:rsidRPr="006E035B">
        <w:rPr>
          <w:rFonts w:ascii="Arial" w:eastAsiaTheme="minorEastAsia" w:hAnsi="Arial" w:cs="Arial"/>
          <w:b/>
          <w:bCs/>
          <w:sz w:val="24"/>
          <w:szCs w:val="24"/>
          <w:lang w:eastAsia="ko-KR"/>
        </w:rPr>
        <w:t xml:space="preserve"> – </w:t>
      </w:r>
      <w:r w:rsidR="00B93783">
        <w:rPr>
          <w:rFonts w:ascii="Arial" w:eastAsiaTheme="minorEastAsia" w:hAnsi="Arial" w:cs="Arial"/>
          <w:b/>
          <w:bCs/>
          <w:sz w:val="24"/>
          <w:szCs w:val="24"/>
          <w:lang w:eastAsia="ko-KR"/>
        </w:rPr>
        <w:t>13</w:t>
      </w:r>
      <w:r w:rsidRPr="000F2E12">
        <w:rPr>
          <w:rFonts w:ascii="Arial" w:eastAsiaTheme="minorEastAsia" w:hAnsi="Arial" w:cs="Arial"/>
          <w:b/>
          <w:bCs/>
          <w:sz w:val="24"/>
          <w:szCs w:val="24"/>
          <w:vertAlign w:val="superscript"/>
          <w:lang w:eastAsia="ko-KR"/>
        </w:rPr>
        <w:t>th</w:t>
      </w:r>
      <w:r w:rsidRPr="006E035B">
        <w:rPr>
          <w:rFonts w:ascii="Arial" w:eastAsiaTheme="minorEastAsia" w:hAnsi="Arial" w:cs="Arial"/>
          <w:b/>
          <w:bCs/>
          <w:sz w:val="24"/>
          <w:szCs w:val="24"/>
          <w:lang w:eastAsia="ko-KR"/>
        </w:rPr>
        <w:t xml:space="preserve"> </w:t>
      </w:r>
      <w:r w:rsidR="00B93783">
        <w:rPr>
          <w:rFonts w:ascii="Arial" w:eastAsiaTheme="minorEastAsia" w:hAnsi="Arial" w:cs="Arial"/>
          <w:b/>
          <w:bCs/>
          <w:sz w:val="24"/>
          <w:szCs w:val="24"/>
          <w:lang w:eastAsia="ko-KR"/>
        </w:rPr>
        <w:t>October</w:t>
      </w:r>
      <w:r w:rsidRPr="006E035B">
        <w:rPr>
          <w:rFonts w:ascii="Arial" w:eastAsiaTheme="minorEastAsia" w:hAnsi="Arial" w:cs="Arial"/>
          <w:b/>
          <w:bCs/>
          <w:sz w:val="24"/>
          <w:szCs w:val="24"/>
          <w:lang w:eastAsia="ko-KR"/>
        </w:rPr>
        <w:t xml:space="preserve"> 2017</w:t>
      </w:r>
    </w:p>
    <w:p w14:paraId="2DEF91E9" w14:textId="0073C457" w:rsidR="00FC6EBE" w:rsidRPr="00441660" w:rsidRDefault="00FC6EBE" w:rsidP="0078419B">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B93783">
        <w:rPr>
          <w:rFonts w:ascii="Arial" w:hAnsi="Arial"/>
          <w:sz w:val="24"/>
          <w:lang w:val="en-US"/>
        </w:rPr>
        <w:t>6</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B93783">
        <w:rPr>
          <w:rFonts w:ascii="Arial" w:hAnsi="Arial"/>
          <w:sz w:val="24"/>
          <w:lang w:val="en-US" w:eastAsia="ko-KR"/>
        </w:rPr>
        <w:t>6</w:t>
      </w:r>
      <w:r w:rsidR="006456AF">
        <w:rPr>
          <w:rFonts w:ascii="Arial" w:hAnsi="Arial" w:hint="eastAsia"/>
          <w:sz w:val="24"/>
          <w:lang w:val="en-US" w:eastAsia="ko-KR"/>
        </w:rPr>
        <w:t>.</w:t>
      </w:r>
      <w:r w:rsidR="00B93783">
        <w:rPr>
          <w:rFonts w:ascii="Arial" w:hAnsi="Arial"/>
          <w:sz w:val="24"/>
          <w:lang w:val="en-US" w:eastAsia="ko-KR"/>
        </w:rPr>
        <w:t>4</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bookmarkStart w:id="3" w:name="_GoBack"/>
      <w:bookmarkEnd w:id="3"/>
    </w:p>
    <w:p w14:paraId="2D6A6821" w14:textId="2499A9FF"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6E035B">
        <w:rPr>
          <w:rFonts w:ascii="Arial" w:hAnsi="Arial"/>
          <w:sz w:val="24"/>
          <w:lang w:eastAsia="ko-KR"/>
        </w:rPr>
        <w:t xml:space="preserve">       </w:t>
      </w:r>
      <w:r w:rsidR="006E035B" w:rsidRPr="006E035B">
        <w:rPr>
          <w:rFonts w:ascii="Arial" w:hAnsi="Arial"/>
          <w:sz w:val="24"/>
          <w:lang w:eastAsia="ko-KR"/>
        </w:rPr>
        <w:t>Resource configuration for NPRACH enhancement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2"/>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1DE38B3F"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4C787827" w14:textId="77777777" w:rsidR="005A1DFC" w:rsidRPr="001C2FEC" w:rsidRDefault="005A1DFC" w:rsidP="005A1DFC">
      <w:pPr>
        <w:ind w:leftChars="300" w:left="660"/>
        <w:contextualSpacing/>
        <w:rPr>
          <w:rFonts w:eastAsia="MS Mincho"/>
          <w:highlight w:val="green"/>
          <w:lang w:eastAsia="ja-JP"/>
        </w:rPr>
      </w:pPr>
    </w:p>
    <w:p w14:paraId="67FA4224" w14:textId="53EFC178" w:rsidR="000D2081" w:rsidRPr="000F2E12" w:rsidRDefault="000D2081" w:rsidP="000F2E12">
      <w:pPr>
        <w:spacing w:afterLines="50" w:line="276" w:lineRule="auto"/>
        <w:ind w:firstLine="431"/>
        <w:rPr>
          <w:rFonts w:eastAsia="MS Mincho"/>
          <w:b/>
          <w:highlight w:val="green"/>
          <w:lang w:eastAsia="ja-JP"/>
        </w:rPr>
      </w:pPr>
      <w:r>
        <w:rPr>
          <w:kern w:val="2"/>
          <w:lang w:val="en-US" w:eastAsia="ko-KR"/>
        </w:rPr>
        <w:t>In RAN1 #89 meeting, following agreements on the NPRACH enhancement were made [3]</w:t>
      </w:r>
      <w:r w:rsidRPr="00A92BD7">
        <w:rPr>
          <w:rFonts w:hint="eastAsia"/>
          <w:kern w:val="2"/>
          <w:lang w:val="en-US" w:eastAsia="ko-KR"/>
        </w:rPr>
        <w:t>:</w:t>
      </w:r>
    </w:p>
    <w:p w14:paraId="6FA7471B" w14:textId="3AD04F0F" w:rsidR="005A1DFC" w:rsidRPr="000F2E12" w:rsidRDefault="005A1DFC" w:rsidP="005A1DFC">
      <w:pPr>
        <w:ind w:leftChars="300" w:left="660"/>
        <w:contextualSpacing/>
        <w:rPr>
          <w:rFonts w:eastAsia="MS Mincho"/>
          <w:b/>
          <w:highlight w:val="green"/>
          <w:lang w:eastAsia="ja-JP"/>
        </w:rPr>
      </w:pPr>
      <w:r w:rsidRPr="000F2E12">
        <w:rPr>
          <w:rFonts w:eastAsia="MS Mincho"/>
          <w:b/>
          <w:highlight w:val="green"/>
          <w:lang w:eastAsia="ja-JP"/>
        </w:rPr>
        <w:t>Agreements at RAN1 #89 meeting:</w:t>
      </w:r>
    </w:p>
    <w:p w14:paraId="7F5FDBF4"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To support of cell range of at least 100 km, FFS between:</w:t>
      </w:r>
    </w:p>
    <w:p w14:paraId="1B86174E"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Cat 1: Rel-13 NPRACH</w:t>
      </w:r>
    </w:p>
    <w:p w14:paraId="0238C1F6"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Cat 2: Sharing the same NPRACH resources as Rel-13 NPRACH formats, with symbol or symbol-group level scrambling; maintaining feasibility of FFT processing and orthogonality of preambles on different tones</w:t>
      </w:r>
    </w:p>
    <w:p w14:paraId="5675BDCD"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CP length FFS between same as or longer than Rel-13 formats</w:t>
      </w:r>
    </w:p>
    <w:p w14:paraId="7DFF4D98"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Cat 3: New NPRACH numerology with CP length FFS between same as or longer than Rel-13 formats</w:t>
      </w:r>
    </w:p>
    <w:p w14:paraId="4650B52F"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A: 1.25 kHz subcarrier spacing with minimum hop distance of 1.25 kHz</w:t>
      </w:r>
    </w:p>
    <w:p w14:paraId="21439462"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B: 3.75 kHz subcarrier spacing with minimum hop distance 1.25 kHz</w:t>
      </w:r>
    </w:p>
    <w:p w14:paraId="38A031F1"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C: 3.75 kHz subcarrier spacing with minimum hop distance 3.75 kHz with new hopping pattern</w:t>
      </w:r>
    </w:p>
    <w:p w14:paraId="74A8C92F"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Combinations of Category 2 and Category 3 solutions are not precluded</w:t>
      </w:r>
    </w:p>
    <w:p w14:paraId="0A3AF9BA" w14:textId="77777777" w:rsidR="005A1DFC" w:rsidRPr="00FB1AAF" w:rsidRDefault="005A1DFC" w:rsidP="005A1DFC">
      <w:pPr>
        <w:ind w:leftChars="300" w:left="660"/>
        <w:contextualSpacing/>
        <w:rPr>
          <w:rFonts w:eastAsia="MS Mincho"/>
          <w:lang w:eastAsia="ja-JP"/>
        </w:rPr>
      </w:pPr>
    </w:p>
    <w:p w14:paraId="138B0C8B" w14:textId="681BD56C" w:rsidR="005A1DFC" w:rsidRPr="000F2E12" w:rsidRDefault="00D90333" w:rsidP="005A1DFC">
      <w:pPr>
        <w:ind w:leftChars="300" w:left="660"/>
        <w:contextualSpacing/>
        <w:rPr>
          <w:rFonts w:eastAsia="MS Mincho"/>
          <w:b/>
          <w:highlight w:val="green"/>
          <w:lang w:eastAsia="ja-JP"/>
        </w:rPr>
      </w:pPr>
      <w:r w:rsidRPr="00EA0986">
        <w:rPr>
          <w:rFonts w:eastAsia="MS Mincho"/>
          <w:b/>
          <w:highlight w:val="green"/>
          <w:lang w:eastAsia="ja-JP"/>
        </w:rPr>
        <w:lastRenderedPageBreak/>
        <w:t>Agreements at RAN1 #89 meeting:</w:t>
      </w:r>
    </w:p>
    <w:p w14:paraId="586CFE45" w14:textId="77777777" w:rsidR="005A1DFC" w:rsidRPr="00FB1AAF" w:rsidRDefault="005A1DFC" w:rsidP="005A1DFC">
      <w:pPr>
        <w:ind w:leftChars="300" w:left="660"/>
        <w:contextualSpacing/>
        <w:rPr>
          <w:rFonts w:eastAsia="MS Mincho"/>
          <w:lang w:eastAsia="ja-JP"/>
        </w:rPr>
      </w:pPr>
      <w:r w:rsidRPr="00FB1AAF">
        <w:rPr>
          <w:rFonts w:eastAsia="MS Mincho"/>
          <w:lang w:eastAsia="ja-JP"/>
        </w:rPr>
        <w:t>For reduction of NPRACH false alarm probability, FFS between:</w:t>
      </w:r>
    </w:p>
    <w:p w14:paraId="68638BBC" w14:textId="77777777" w:rsidR="005A1DFC" w:rsidRPr="00FB1AAF" w:rsidRDefault="005A1DFC" w:rsidP="000F2E12">
      <w:pPr>
        <w:pStyle w:val="ab"/>
        <w:numPr>
          <w:ilvl w:val="1"/>
          <w:numId w:val="6"/>
        </w:numPr>
        <w:spacing w:after="180"/>
        <w:ind w:leftChars="0"/>
        <w:contextualSpacing/>
        <w:jc w:val="left"/>
        <w:rPr>
          <w:rFonts w:eastAsia="MS Mincho"/>
        </w:rPr>
      </w:pPr>
      <w:r w:rsidRPr="00FB1AAF">
        <w:rPr>
          <w:rFonts w:eastAsia="MS Mincho"/>
        </w:rPr>
        <w:t>Alt 1: Sharing the same NPRACH resources as Rel-13 NPRACH formats, with symbol or symbol-group level scrambling; maintaining feasibility of FFT processing and orthogonality of preambles on different tones</w:t>
      </w:r>
    </w:p>
    <w:p w14:paraId="4DF49000" w14:textId="77777777" w:rsidR="005A1DFC" w:rsidRPr="00FB1AAF" w:rsidRDefault="005A1DFC" w:rsidP="000F2E12">
      <w:pPr>
        <w:pStyle w:val="ab"/>
        <w:numPr>
          <w:ilvl w:val="1"/>
          <w:numId w:val="6"/>
        </w:numPr>
        <w:spacing w:after="180"/>
        <w:ind w:leftChars="0"/>
        <w:contextualSpacing/>
        <w:jc w:val="left"/>
        <w:rPr>
          <w:rFonts w:eastAsia="MS Mincho"/>
        </w:rPr>
      </w:pPr>
      <w:r w:rsidRPr="00FB1AAF">
        <w:rPr>
          <w:rFonts w:eastAsia="MS Mincho"/>
        </w:rPr>
        <w:t>Alt 2: A frequency shift of k*0.75 kHz is applied to all NPRACH signal in a Cell.</w:t>
      </w:r>
    </w:p>
    <w:p w14:paraId="3A452EA3"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FFS k=[-2, -1, 0, 1, 2] or [-2, -1 1 2].</w:t>
      </w:r>
    </w:p>
    <w:p w14:paraId="0B1AE681"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FFS if to apply a phase rotation of m*pi/2 with m=0,1,2,3 is applied to the 4th symbol group of each repetition.</w:t>
      </w:r>
    </w:p>
    <w:p w14:paraId="22099AB0"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Signaling of the above frequency shift and phase rotation is FFS.</w:t>
      </w:r>
    </w:p>
    <w:p w14:paraId="658011C6"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Alt 3: 3.75 kHz subcarrier spacing with minimum hop distance 3.75 kHz with new hopping pattern</w:t>
      </w:r>
    </w:p>
    <w:p w14:paraId="7D36CFD6"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Combinations of the above alternatives are not precluded</w:t>
      </w:r>
    </w:p>
    <w:p w14:paraId="60492DE8" w14:textId="77777777" w:rsidR="00A92BD7" w:rsidRPr="000F2E12" w:rsidRDefault="00A92BD7" w:rsidP="0078419B">
      <w:pPr>
        <w:spacing w:afterLines="50" w:line="276" w:lineRule="auto"/>
        <w:ind w:firstLineChars="193" w:firstLine="425"/>
        <w:rPr>
          <w:kern w:val="2"/>
          <w:lang w:eastAsia="ko-KR"/>
        </w:rPr>
      </w:pPr>
    </w:p>
    <w:p w14:paraId="7272FD30" w14:textId="188BE524"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w:t>
      </w:r>
      <w:r w:rsidR="000D2081">
        <w:rPr>
          <w:kern w:val="2"/>
          <w:lang w:val="en-US" w:eastAsia="ko-KR"/>
        </w:rPr>
        <w:t>resource configuration for</w:t>
      </w:r>
      <w:r w:rsidR="001A1750">
        <w:rPr>
          <w:kern w:val="2"/>
          <w:lang w:val="en-US" w:eastAsia="ko-KR"/>
        </w:rPr>
        <w:t xml:space="preserve"> NPRACH enhancement </w:t>
      </w:r>
      <w:r w:rsidR="00474DDF">
        <w:rPr>
          <w:kern w:val="2"/>
          <w:lang w:val="en-US" w:eastAsia="ko-KR"/>
        </w:rPr>
        <w:t>for NB-IoT</w:t>
      </w:r>
      <w:r w:rsidR="001A1750">
        <w:rPr>
          <w:kern w:val="2"/>
          <w:lang w:val="en-US" w:eastAsia="ko-KR"/>
        </w:rPr>
        <w:t xml:space="preserve">. </w:t>
      </w:r>
      <w:r w:rsidR="000D2081">
        <w:rPr>
          <w:kern w:val="2"/>
          <w:lang w:val="en-US" w:eastAsia="ko-KR"/>
        </w:rPr>
        <w:t>Preamble structure and guard time issues are discussed in our</w:t>
      </w:r>
      <w:r w:rsidR="00A312F8">
        <w:rPr>
          <w:kern w:val="2"/>
          <w:lang w:val="en-US" w:eastAsia="ko-KR"/>
        </w:rPr>
        <w:t xml:space="preserve"> companion paper [</w:t>
      </w:r>
      <w:r w:rsidR="000D2081">
        <w:rPr>
          <w:kern w:val="2"/>
          <w:lang w:val="en-US" w:eastAsia="ko-KR"/>
        </w:rPr>
        <w:t>4</w:t>
      </w:r>
      <w:r w:rsidR="00A312F8">
        <w:rPr>
          <w:kern w:val="2"/>
          <w:lang w:val="en-US" w:eastAsia="ko-KR"/>
        </w:rPr>
        <w:t>].</w:t>
      </w:r>
      <w:r w:rsidR="00B93783">
        <w:rPr>
          <w:kern w:val="2"/>
          <w:lang w:val="en-US" w:eastAsia="ko-KR"/>
        </w:rPr>
        <w:t xml:space="preserve"> </w:t>
      </w:r>
      <w:r w:rsidR="00B93783" w:rsidRPr="007F3DBA">
        <w:rPr>
          <w:kern w:val="2"/>
          <w:szCs w:val="22"/>
          <w:lang w:val="en-US" w:eastAsia="ko-KR"/>
        </w:rPr>
        <w:t>This is a re-submission of R1-</w:t>
      </w:r>
      <w:r w:rsidR="00B93783" w:rsidRPr="00B93783">
        <w:rPr>
          <w:kern w:val="2"/>
          <w:szCs w:val="22"/>
          <w:lang w:val="en-US" w:eastAsia="ko-KR"/>
        </w:rPr>
        <w:t>1713106</w:t>
      </w:r>
      <w:r w:rsidR="00B93783">
        <w:rPr>
          <w:kern w:val="2"/>
          <w:szCs w:val="22"/>
          <w:lang w:val="en-US" w:eastAsia="ko-KR"/>
        </w:rPr>
        <w:t>.</w:t>
      </w:r>
    </w:p>
    <w:p w14:paraId="40680775" w14:textId="77777777" w:rsidR="006B1645" w:rsidRPr="000F2E12" w:rsidRDefault="006B1645" w:rsidP="0078419B">
      <w:pPr>
        <w:spacing w:afterLines="50" w:line="276" w:lineRule="auto"/>
        <w:rPr>
          <w:kern w:val="2"/>
          <w:lang w:val="en-US" w:eastAsia="ko-KR"/>
        </w:rPr>
      </w:pPr>
    </w:p>
    <w:p w14:paraId="71F2F86E" w14:textId="25864D04" w:rsidR="00F5000A" w:rsidRPr="000F2E12" w:rsidRDefault="008F1E46" w:rsidP="0078419B">
      <w:pPr>
        <w:pStyle w:val="1"/>
        <w:tabs>
          <w:tab w:val="clear" w:pos="3693"/>
        </w:tabs>
        <w:spacing w:before="120" w:line="276" w:lineRule="auto"/>
        <w:ind w:left="567" w:hanging="567"/>
        <w:rPr>
          <w:sz w:val="36"/>
        </w:rPr>
      </w:pPr>
      <w:r w:rsidRPr="000F2E12">
        <w:rPr>
          <w:rFonts w:hint="eastAsia"/>
          <w:sz w:val="36"/>
          <w:lang w:eastAsia="ko-KR"/>
        </w:rPr>
        <w:t>NPRACH resource configuration</w:t>
      </w:r>
      <w:r w:rsidR="00053E85" w:rsidRPr="000F2E12">
        <w:rPr>
          <w:sz w:val="36"/>
          <w:lang w:eastAsia="ko-KR"/>
        </w:rPr>
        <w:t xml:space="preserve"> </w:t>
      </w:r>
    </w:p>
    <w:p w14:paraId="17AA3BBA" w14:textId="77777777" w:rsidR="005A2E15" w:rsidRDefault="00B0699D" w:rsidP="00B0699D">
      <w:pPr>
        <w:spacing w:afterLines="50" w:line="276" w:lineRule="auto"/>
        <w:ind w:firstLineChars="193" w:firstLine="425"/>
        <w:rPr>
          <w:kern w:val="2"/>
          <w:lang w:val="en-US" w:eastAsia="ko-KR"/>
        </w:rPr>
      </w:pPr>
      <w:r>
        <w:rPr>
          <w:kern w:val="2"/>
          <w:lang w:val="en-US" w:eastAsia="ko-KR"/>
        </w:rPr>
        <w:t xml:space="preserve">Basically, to cover 100 km cell radius, preamble CP length over 666.7 us is needed for inter-symbol interference free preamble detection. </w:t>
      </w:r>
      <w:r w:rsidR="005737FA">
        <w:rPr>
          <w:kern w:val="2"/>
          <w:lang w:val="en-US" w:eastAsia="ko-KR"/>
        </w:rPr>
        <w:t>And for timing estimation without ambiguity</w:t>
      </w:r>
      <w:r w:rsidR="005A2E15">
        <w:rPr>
          <w:kern w:val="2"/>
          <w:lang w:val="en-US" w:eastAsia="ko-KR"/>
        </w:rPr>
        <w:t>, t</w:t>
      </w:r>
      <w:r>
        <w:rPr>
          <w:kern w:val="2"/>
          <w:lang w:val="en-US" w:eastAsia="ko-KR"/>
        </w:rPr>
        <w:t xml:space="preserve">here are two </w:t>
      </w:r>
      <w:r w:rsidR="005A2E15">
        <w:rPr>
          <w:kern w:val="2"/>
          <w:lang w:val="en-US" w:eastAsia="ko-KR"/>
        </w:rPr>
        <w:t>alternatives</w:t>
      </w:r>
      <w:r>
        <w:rPr>
          <w:kern w:val="2"/>
          <w:lang w:val="en-US" w:eastAsia="ko-KR"/>
        </w:rPr>
        <w:t xml:space="preserve"> to meet the minimum frequency hopping distance of 1.25 kHz. </w:t>
      </w:r>
    </w:p>
    <w:p w14:paraId="643A7971" w14:textId="148EBD74" w:rsidR="005A2E15" w:rsidRPr="000F2E12" w:rsidRDefault="005A2E15" w:rsidP="000F2E12">
      <w:pPr>
        <w:pStyle w:val="ab"/>
        <w:numPr>
          <w:ilvl w:val="0"/>
          <w:numId w:val="7"/>
        </w:numPr>
        <w:spacing w:afterLines="50" w:line="276" w:lineRule="auto"/>
        <w:ind w:leftChars="0"/>
        <w:rPr>
          <w:kern w:val="2"/>
          <w:lang w:eastAsia="ko-KR"/>
        </w:rPr>
      </w:pPr>
      <w:r w:rsidRPr="000F2E12">
        <w:rPr>
          <w:kern w:val="2"/>
          <w:lang w:eastAsia="ko-KR"/>
        </w:rPr>
        <w:t>1.25 kHz preamble subcarrier spacing and integer frequency hopping</w:t>
      </w:r>
    </w:p>
    <w:p w14:paraId="3251DA4A" w14:textId="77777777" w:rsidR="005A2E15" w:rsidRPr="000F2E12" w:rsidRDefault="005A2E15" w:rsidP="005A2E15">
      <w:pPr>
        <w:pStyle w:val="ab"/>
        <w:numPr>
          <w:ilvl w:val="0"/>
          <w:numId w:val="7"/>
        </w:numPr>
        <w:spacing w:afterLines="50" w:line="276" w:lineRule="auto"/>
        <w:ind w:leftChars="0"/>
        <w:rPr>
          <w:kern w:val="2"/>
          <w:lang w:eastAsia="ko-KR"/>
        </w:rPr>
      </w:pPr>
      <w:r w:rsidRPr="000F2E12">
        <w:rPr>
          <w:kern w:val="2"/>
          <w:lang w:eastAsia="ko-KR"/>
        </w:rPr>
        <w:t>3.75 kHz preamble subcarrier spacing and fractional frequency hopping</w:t>
      </w:r>
    </w:p>
    <w:p w14:paraId="2C0E453A" w14:textId="64EB855D" w:rsidR="00D413B3" w:rsidRDefault="005A2E15" w:rsidP="00D413B3">
      <w:pPr>
        <w:spacing w:afterLines="50" w:line="276" w:lineRule="auto"/>
        <w:rPr>
          <w:kern w:val="2"/>
          <w:lang w:eastAsia="ko-KR"/>
        </w:rPr>
      </w:pPr>
      <w:r>
        <w:rPr>
          <w:kern w:val="2"/>
          <w:lang w:val="en-US" w:eastAsia="ko-KR"/>
        </w:rPr>
        <w:t xml:space="preserve">For this discussion, we </w:t>
      </w:r>
      <w:r w:rsidR="002F78D4">
        <w:rPr>
          <w:kern w:val="2"/>
          <w:lang w:val="en-US" w:eastAsia="ko-KR"/>
        </w:rPr>
        <w:t>define the enhanced preamble as</w:t>
      </w:r>
      <w:r>
        <w:rPr>
          <w:kern w:val="2"/>
          <w:lang w:val="en-US" w:eastAsia="ko-KR"/>
        </w:rPr>
        <w:t xml:space="preserve"> </w:t>
      </w:r>
      <w:r w:rsidR="00CD023A">
        <w:rPr>
          <w:kern w:val="2"/>
          <w:lang w:val="en-US" w:eastAsia="ko-KR"/>
        </w:rPr>
        <w:t>the preamble for NPRACH enhancement</w:t>
      </w:r>
      <w:r w:rsidR="002F78D4">
        <w:rPr>
          <w:kern w:val="2"/>
          <w:lang w:val="en-US" w:eastAsia="ko-KR"/>
        </w:rPr>
        <w:t xml:space="preserve"> and the legacy preamble as </w:t>
      </w:r>
      <w:r w:rsidR="00CD023A">
        <w:rPr>
          <w:kern w:val="2"/>
          <w:lang w:val="en-US" w:eastAsia="ko-KR"/>
        </w:rPr>
        <w:t xml:space="preserve">the preamble for the legacy NB-IoT. </w:t>
      </w:r>
      <w:r w:rsidR="009C2DC2">
        <w:rPr>
          <w:kern w:val="2"/>
          <w:lang w:eastAsia="ko-KR"/>
        </w:rPr>
        <w:t>F</w:t>
      </w:r>
      <w:r w:rsidR="009C2DC2">
        <w:rPr>
          <w:rFonts w:hint="eastAsia"/>
          <w:kern w:val="2"/>
          <w:lang w:eastAsia="ko-KR"/>
        </w:rPr>
        <w:t xml:space="preserve">or </w:t>
      </w:r>
      <w:r w:rsidR="009C2DC2">
        <w:rPr>
          <w:kern w:val="2"/>
          <w:lang w:eastAsia="ko-KR"/>
        </w:rPr>
        <w:t xml:space="preserve">systems in which legacy and enhanced preamble </w:t>
      </w:r>
      <w:r w:rsidR="00CD023A">
        <w:rPr>
          <w:kern w:val="2"/>
          <w:lang w:eastAsia="ko-KR"/>
        </w:rPr>
        <w:t>co</w:t>
      </w:r>
      <w:r w:rsidR="009C2DC2">
        <w:rPr>
          <w:kern w:val="2"/>
          <w:lang w:eastAsia="ko-KR"/>
        </w:rPr>
        <w:t>exist, NPRACH resource sharing between legacy</w:t>
      </w:r>
      <w:r w:rsidR="002F78D4">
        <w:rPr>
          <w:kern w:val="2"/>
          <w:lang w:eastAsia="ko-KR"/>
        </w:rPr>
        <w:t xml:space="preserve"> preamble</w:t>
      </w:r>
      <w:r w:rsidR="009C2DC2">
        <w:rPr>
          <w:kern w:val="2"/>
          <w:lang w:eastAsia="ko-KR"/>
        </w:rPr>
        <w:t xml:space="preserve"> and enhanced </w:t>
      </w:r>
      <w:r w:rsidR="002F78D4">
        <w:rPr>
          <w:kern w:val="2"/>
          <w:lang w:eastAsia="ko-KR"/>
        </w:rPr>
        <w:t>preamble</w:t>
      </w:r>
      <w:r w:rsidR="009C2DC2">
        <w:rPr>
          <w:kern w:val="2"/>
          <w:lang w:eastAsia="ko-KR"/>
        </w:rPr>
        <w:t xml:space="preserve"> are beneficial. </w:t>
      </w:r>
      <w:r w:rsidR="00D413B3">
        <w:rPr>
          <w:kern w:val="2"/>
          <w:lang w:eastAsia="ko-KR"/>
        </w:rPr>
        <w:t xml:space="preserve">And for efficient multiplexing of enhanced and legacy preambles, </w:t>
      </w:r>
      <w:r w:rsidR="00BA4514">
        <w:rPr>
          <w:kern w:val="2"/>
          <w:lang w:eastAsia="ko-KR"/>
        </w:rPr>
        <w:t xml:space="preserve">it would be beneficial if </w:t>
      </w:r>
      <w:r w:rsidR="00D413B3">
        <w:rPr>
          <w:kern w:val="2"/>
          <w:lang w:eastAsia="ko-KR"/>
        </w:rPr>
        <w:t xml:space="preserve">the length of the preamble </w:t>
      </w:r>
      <w:r w:rsidR="00BA4514">
        <w:rPr>
          <w:kern w:val="2"/>
          <w:lang w:eastAsia="ko-KR"/>
        </w:rPr>
        <w:t>is</w:t>
      </w:r>
      <w:r w:rsidR="00D413B3">
        <w:rPr>
          <w:kern w:val="2"/>
          <w:lang w:eastAsia="ko-KR"/>
        </w:rPr>
        <w:t xml:space="preserve"> the same as</w:t>
      </w:r>
      <w:r w:rsidR="00BA4514">
        <w:rPr>
          <w:kern w:val="2"/>
          <w:lang w:eastAsia="ko-KR"/>
        </w:rPr>
        <w:t xml:space="preserve"> that of</w:t>
      </w:r>
      <w:r w:rsidR="00D413B3">
        <w:rPr>
          <w:kern w:val="2"/>
          <w:lang w:eastAsia="ko-KR"/>
        </w:rPr>
        <w:t xml:space="preserve"> the legacy preamble. </w:t>
      </w:r>
      <w:r w:rsidR="00BA4514">
        <w:rPr>
          <w:kern w:val="2"/>
          <w:lang w:eastAsia="ko-KR"/>
        </w:rPr>
        <w:t xml:space="preserve">Aligning both the starting and ending points of the enhanced preamble and the legacy preamble is called preamble boundary alignment. Preamble boundary alignment can be done by changing either the number symbol groups in a preamble or the number of symbols in a symbol group or both. In addition to the preamble boundary alignment, we can consider symbol group boundary alignment by changing the number of symbols in a symbol group. Because in legacy preamble, the symbol group is the basic unit for frequency hopping, aligning symbol boundaries </w:t>
      </w:r>
      <w:r w:rsidR="00993F0D">
        <w:rPr>
          <w:kern w:val="2"/>
          <w:lang w:eastAsia="ko-KR"/>
        </w:rPr>
        <w:t>may</w:t>
      </w:r>
      <w:r w:rsidR="00BA4514">
        <w:rPr>
          <w:kern w:val="2"/>
          <w:lang w:eastAsia="ko-KR"/>
        </w:rPr>
        <w:t xml:space="preserve"> bring </w:t>
      </w:r>
      <w:r w:rsidR="00993F0D">
        <w:rPr>
          <w:kern w:val="2"/>
          <w:lang w:eastAsia="ko-KR"/>
        </w:rPr>
        <w:t>additional</w:t>
      </w:r>
      <w:r w:rsidR="00BA4514">
        <w:rPr>
          <w:kern w:val="2"/>
          <w:lang w:eastAsia="ko-KR"/>
        </w:rPr>
        <w:t xml:space="preserve"> benefits </w:t>
      </w:r>
      <w:r w:rsidR="00993F0D">
        <w:rPr>
          <w:kern w:val="2"/>
          <w:lang w:eastAsia="ko-KR"/>
        </w:rPr>
        <w:t xml:space="preserve">but we think the benefits are not clear yet. </w:t>
      </w:r>
      <w:r w:rsidR="00BA4514">
        <w:rPr>
          <w:kern w:val="2"/>
          <w:lang w:eastAsia="ko-KR"/>
        </w:rPr>
        <w:t xml:space="preserve"> </w:t>
      </w:r>
    </w:p>
    <w:p w14:paraId="2194F1D3" w14:textId="686CB1AB" w:rsidR="0075073F" w:rsidRDefault="0075073F" w:rsidP="00D413B3">
      <w:pPr>
        <w:spacing w:afterLines="50" w:line="276" w:lineRule="auto"/>
        <w:rPr>
          <w:kern w:val="2"/>
          <w:lang w:eastAsia="ko-KR"/>
        </w:rPr>
      </w:pPr>
      <w:r>
        <w:rPr>
          <w:kern w:val="2"/>
          <w:lang w:eastAsia="ko-KR"/>
        </w:rPr>
        <w:t>In addition to aligning in the time domain, we can consider FDM of enhanced preamble and legacy preamble within the NPRACH. The best way would be FDM of NPRACH for enhanced preamble into the legacy NPRACH region. In that case, legacy UE can avoid collision with</w:t>
      </w:r>
      <w:r w:rsidR="00E46C88">
        <w:rPr>
          <w:kern w:val="2"/>
          <w:lang w:eastAsia="ko-KR"/>
        </w:rPr>
        <w:t xml:space="preserve"> the</w:t>
      </w:r>
      <w:r>
        <w:rPr>
          <w:kern w:val="2"/>
          <w:lang w:eastAsia="ko-KR"/>
        </w:rPr>
        <w:t xml:space="preserve"> enhanced preamble as the legacy is already supposed to avoid NPRACH region. We need to further study on the feasibility</w:t>
      </w:r>
      <w:r w:rsidR="00E46C88">
        <w:rPr>
          <w:kern w:val="2"/>
          <w:lang w:eastAsia="ko-KR"/>
        </w:rPr>
        <w:t xml:space="preserve"> and the signalling mechanism of the FDM</w:t>
      </w:r>
      <w:r>
        <w:rPr>
          <w:kern w:val="2"/>
          <w:lang w:eastAsia="ko-KR"/>
        </w:rPr>
        <w:t>.</w:t>
      </w:r>
    </w:p>
    <w:p w14:paraId="076D3BEB" w14:textId="77777777" w:rsidR="00973CF0" w:rsidRDefault="00973CF0" w:rsidP="000F2E12">
      <w:pPr>
        <w:spacing w:afterLines="50" w:line="276" w:lineRule="auto"/>
        <w:rPr>
          <w:kern w:val="2"/>
          <w:lang w:eastAsia="ko-KR"/>
        </w:rPr>
      </w:pPr>
    </w:p>
    <w:p w14:paraId="173FD8CF" w14:textId="052A5DCA" w:rsidR="00973CF0" w:rsidRPr="00EA0986" w:rsidRDefault="00973CF0" w:rsidP="00973CF0">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1</w:t>
      </w:r>
      <w:r w:rsidRPr="00EA0986">
        <w:rPr>
          <w:b/>
          <w:i/>
          <w:kern w:val="2"/>
          <w:u w:val="single"/>
          <w:lang w:eastAsia="ko-KR"/>
        </w:rPr>
        <w:t xml:space="preserve">: </w:t>
      </w:r>
      <w:r w:rsidRPr="008F1E46">
        <w:rPr>
          <w:b/>
          <w:i/>
          <w:kern w:val="2"/>
          <w:u w:val="single"/>
          <w:lang w:eastAsia="ko-KR"/>
        </w:rPr>
        <w:t>Share the same NPRACH resource configuration mechanism so that legacy NB-IoT UEs can avoid the configured NPRACH resources for</w:t>
      </w:r>
      <w:r w:rsidR="00D413B3">
        <w:rPr>
          <w:b/>
          <w:i/>
          <w:kern w:val="2"/>
          <w:u w:val="single"/>
          <w:lang w:eastAsia="ko-KR"/>
        </w:rPr>
        <w:t xml:space="preserve"> the</w:t>
      </w:r>
      <w:r w:rsidRPr="008F1E46">
        <w:rPr>
          <w:b/>
          <w:i/>
          <w:kern w:val="2"/>
          <w:u w:val="single"/>
          <w:lang w:eastAsia="ko-KR"/>
        </w:rPr>
        <w:t xml:space="preserve"> </w:t>
      </w:r>
      <w:r w:rsidR="00D413B3">
        <w:rPr>
          <w:b/>
          <w:i/>
          <w:kern w:val="2"/>
          <w:u w:val="single"/>
          <w:lang w:eastAsia="ko-KR"/>
        </w:rPr>
        <w:t>enhanced preamble</w:t>
      </w:r>
      <w:r>
        <w:rPr>
          <w:b/>
          <w:i/>
          <w:kern w:val="2"/>
          <w:u w:val="single"/>
          <w:lang w:eastAsia="ko-KR"/>
        </w:rPr>
        <w:t>.</w:t>
      </w:r>
    </w:p>
    <w:p w14:paraId="4004E187" w14:textId="77777777" w:rsidR="008F1E46" w:rsidRDefault="008F1E46" w:rsidP="000F2E12">
      <w:pPr>
        <w:spacing w:afterLines="50" w:line="276" w:lineRule="auto"/>
        <w:rPr>
          <w:kern w:val="2"/>
          <w:lang w:val="en-US" w:eastAsia="ko-KR"/>
        </w:rPr>
      </w:pPr>
    </w:p>
    <w:p w14:paraId="7D95D140" w14:textId="77777777" w:rsidR="008F1E46" w:rsidRDefault="00C44D0D" w:rsidP="000F2E12">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xml:space="preserve">: </w:t>
      </w:r>
      <w:r w:rsidR="008F1E46" w:rsidRPr="008F1E46">
        <w:rPr>
          <w:b/>
          <w:i/>
          <w:kern w:val="2"/>
          <w:u w:val="single"/>
          <w:lang w:eastAsia="ko-KR"/>
        </w:rPr>
        <w:t>Align at least the preamble boundaries between the legacy preamble and the enhanced preamble</w:t>
      </w:r>
      <w:r w:rsidRPr="00EA0986">
        <w:rPr>
          <w:b/>
          <w:i/>
          <w:kern w:val="2"/>
          <w:u w:val="single"/>
          <w:lang w:eastAsia="ko-KR"/>
        </w:rPr>
        <w:t>:</w:t>
      </w:r>
    </w:p>
    <w:p w14:paraId="2E0C5EE7" w14:textId="4341A23C" w:rsidR="00C44D0D" w:rsidRPr="000F2E12" w:rsidRDefault="008F1E46" w:rsidP="000F2E12">
      <w:pPr>
        <w:pStyle w:val="ab"/>
        <w:numPr>
          <w:ilvl w:val="0"/>
          <w:numId w:val="11"/>
        </w:numPr>
        <w:spacing w:afterLines="50" w:line="276" w:lineRule="auto"/>
        <w:ind w:leftChars="0"/>
        <w:rPr>
          <w:b/>
          <w:i/>
          <w:kern w:val="2"/>
          <w:u w:val="single"/>
          <w:lang w:eastAsia="ko-KR"/>
        </w:rPr>
      </w:pPr>
      <w:r w:rsidRPr="000F2E12">
        <w:rPr>
          <w:b/>
          <w:i/>
          <w:kern w:val="2"/>
          <w:u w:val="single"/>
          <w:lang w:eastAsia="ko-KR"/>
        </w:rPr>
        <w:t>FFS possibility of symbol group alignment</w:t>
      </w:r>
    </w:p>
    <w:p w14:paraId="7A7391E5" w14:textId="77777777" w:rsidR="00B0699D" w:rsidRDefault="00B0699D" w:rsidP="000F2E12">
      <w:pPr>
        <w:spacing w:afterLines="50" w:line="276" w:lineRule="auto"/>
        <w:rPr>
          <w:kern w:val="2"/>
          <w:lang w:eastAsia="ko-KR"/>
        </w:rPr>
      </w:pPr>
    </w:p>
    <w:p w14:paraId="72DF5DEE" w14:textId="470D5A54" w:rsidR="00CD023A" w:rsidRPr="00EA0986" w:rsidRDefault="00CD023A" w:rsidP="000F2E12">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3</w:t>
      </w:r>
      <w:r w:rsidRPr="00EA0986">
        <w:rPr>
          <w:b/>
          <w:i/>
          <w:kern w:val="2"/>
          <w:u w:val="single"/>
          <w:lang w:eastAsia="ko-KR"/>
        </w:rPr>
        <w:t xml:space="preserve">: </w:t>
      </w:r>
      <w:r w:rsidRPr="00CD023A">
        <w:rPr>
          <w:rFonts w:hint="eastAsia"/>
          <w:b/>
          <w:i/>
          <w:kern w:val="2"/>
          <w:u w:val="single"/>
          <w:lang w:eastAsia="ko-KR"/>
        </w:rPr>
        <w:t xml:space="preserve">Provide the same or similar amount of </w:t>
      </w:r>
      <w:r w:rsidR="00E46C88">
        <w:rPr>
          <w:b/>
          <w:i/>
          <w:kern w:val="2"/>
          <w:u w:val="single"/>
          <w:lang w:eastAsia="ko-KR"/>
        </w:rPr>
        <w:t xml:space="preserve">total </w:t>
      </w:r>
      <w:r w:rsidRPr="00CD023A">
        <w:rPr>
          <w:rFonts w:hint="eastAsia"/>
          <w:b/>
          <w:i/>
          <w:kern w:val="2"/>
          <w:u w:val="single"/>
          <w:lang w:eastAsia="ko-KR"/>
        </w:rPr>
        <w:t xml:space="preserve">useful symbol </w:t>
      </w:r>
      <w:r w:rsidR="00D413B3">
        <w:rPr>
          <w:b/>
          <w:i/>
          <w:kern w:val="2"/>
          <w:u w:val="single"/>
          <w:lang w:eastAsia="ko-KR"/>
        </w:rPr>
        <w:t xml:space="preserve">duration </w:t>
      </w:r>
      <w:r w:rsidRPr="00CD023A">
        <w:rPr>
          <w:rFonts w:hint="eastAsia"/>
          <w:b/>
          <w:i/>
          <w:kern w:val="2"/>
          <w:u w:val="single"/>
          <w:lang w:eastAsia="ko-KR"/>
        </w:rPr>
        <w:t>as legacy NB-IoT preamble for the same or similar detection and timing estimation performance</w:t>
      </w:r>
      <w:r>
        <w:rPr>
          <w:b/>
          <w:i/>
          <w:kern w:val="2"/>
          <w:u w:val="single"/>
          <w:lang w:eastAsia="ko-KR"/>
        </w:rPr>
        <w:t>.</w:t>
      </w:r>
    </w:p>
    <w:p w14:paraId="14B34BCB" w14:textId="38F11D26" w:rsidR="00C44D0D" w:rsidRPr="000F2E12" w:rsidRDefault="00C44D0D" w:rsidP="000F2E12">
      <w:pPr>
        <w:spacing w:afterLines="50" w:line="276" w:lineRule="auto"/>
        <w:rPr>
          <w:kern w:val="2"/>
          <w:lang w:val="en-US" w:eastAsia="ko-KR"/>
        </w:rPr>
      </w:pPr>
    </w:p>
    <w:p w14:paraId="65B1883E" w14:textId="1BCD4B59" w:rsidR="00A84756" w:rsidRPr="000F2E12" w:rsidRDefault="00792440" w:rsidP="0078419B">
      <w:pPr>
        <w:pStyle w:val="1"/>
        <w:tabs>
          <w:tab w:val="clear" w:pos="3693"/>
        </w:tabs>
        <w:spacing w:before="120" w:line="276" w:lineRule="auto"/>
        <w:ind w:left="567" w:hanging="567"/>
        <w:rPr>
          <w:sz w:val="36"/>
        </w:rPr>
      </w:pPr>
      <w:r w:rsidRPr="000F2E12">
        <w:rPr>
          <w:sz w:val="36"/>
          <w:lang w:eastAsia="ko-KR"/>
        </w:rPr>
        <w:t xml:space="preserve">NPRACH </w:t>
      </w:r>
      <w:r w:rsidR="00C44D0D" w:rsidRPr="000F2E12">
        <w:rPr>
          <w:sz w:val="36"/>
          <w:lang w:eastAsia="ko-KR"/>
        </w:rPr>
        <w:t>resource allocation</w:t>
      </w:r>
      <w:r w:rsidR="005835BD" w:rsidRPr="000F2E12">
        <w:rPr>
          <w:sz w:val="36"/>
          <w:lang w:eastAsia="ko-KR"/>
        </w:rPr>
        <w:t xml:space="preserve"> and frequency hopping</w:t>
      </w:r>
    </w:p>
    <w:p w14:paraId="66C4914E" w14:textId="38EA0C8B" w:rsidR="006A36A7" w:rsidRDefault="00E2513F" w:rsidP="0078419B">
      <w:pPr>
        <w:spacing w:afterLines="50" w:line="276" w:lineRule="auto"/>
        <w:ind w:firstLineChars="193" w:firstLine="425"/>
        <w:rPr>
          <w:kern w:val="2"/>
          <w:lang w:val="en-US" w:eastAsia="ko-KR"/>
        </w:rPr>
      </w:pPr>
      <w:r>
        <w:rPr>
          <w:kern w:val="2"/>
          <w:lang w:val="en-US" w:eastAsia="ko-KR"/>
        </w:rPr>
        <w:t>In this section, we discuss the NPRACH resource allocation and frequency hopping. For resource allocation and frequency hopping, the change of minimum frequency hopping distance needs to be taken into account. We introduce basic allocation, boundary allocation and the inter-preamble frequency hopping</w:t>
      </w:r>
      <w:r w:rsidR="001D1B5D">
        <w:rPr>
          <w:kern w:val="2"/>
          <w:lang w:val="en-US" w:eastAsia="ko-KR"/>
        </w:rPr>
        <w:t xml:space="preserve">. The approaches introduced here can be applied to either of the two alternatives </w:t>
      </w:r>
      <w:r w:rsidR="00390D8B">
        <w:rPr>
          <w:kern w:val="2"/>
          <w:lang w:val="en-US" w:eastAsia="ko-KR"/>
        </w:rPr>
        <w:t xml:space="preserve">discussed in the previous section </w:t>
      </w:r>
      <w:r w:rsidR="001D1B5D">
        <w:rPr>
          <w:kern w:val="2"/>
          <w:lang w:val="en-US" w:eastAsia="ko-KR"/>
        </w:rPr>
        <w:t xml:space="preserve">to provide minimum frequency hopping distance of 1.25 kHz. </w:t>
      </w:r>
    </w:p>
    <w:p w14:paraId="5E309C59" w14:textId="77777777" w:rsidR="001D19D3" w:rsidRDefault="001D19D3" w:rsidP="0078419B">
      <w:pPr>
        <w:spacing w:afterLines="50" w:line="276" w:lineRule="auto"/>
        <w:ind w:firstLineChars="193" w:firstLine="425"/>
        <w:rPr>
          <w:kern w:val="2"/>
          <w:lang w:val="en-US" w:eastAsia="ko-KR"/>
        </w:rPr>
      </w:pPr>
    </w:p>
    <w:p w14:paraId="1E0754ED" w14:textId="4DFB546D" w:rsidR="00D9796E" w:rsidRDefault="004D6CA4" w:rsidP="003D0FC1">
      <w:pPr>
        <w:pStyle w:val="2"/>
        <w:spacing w:before="120"/>
      </w:pPr>
      <w:r>
        <w:t>Approach 1</w:t>
      </w:r>
      <w:r w:rsidR="00C5246A">
        <w:t xml:space="preserve">: Basic </w:t>
      </w:r>
      <w:r w:rsidR="00634146">
        <w:t>allocation</w:t>
      </w:r>
    </w:p>
    <w:p w14:paraId="1A51B7AE" w14:textId="39AFB584" w:rsidR="004135AE" w:rsidRPr="004135AE" w:rsidRDefault="00A53F26" w:rsidP="003D0FC1">
      <w:pPr>
        <w:ind w:firstLine="425"/>
        <w:rPr>
          <w:kern w:val="2"/>
          <w:lang w:val="en-US" w:eastAsia="ko-KR"/>
        </w:rPr>
      </w:pPr>
      <w:r>
        <w:rPr>
          <w:kern w:val="2"/>
          <w:lang w:val="en-US" w:eastAsia="ko-KR"/>
        </w:rPr>
        <w:t xml:space="preserve">One example of NPRACH resource allocation for the enhanced preamble is shown in </w:t>
      </w:r>
      <w:r>
        <w:rPr>
          <w:kern w:val="2"/>
          <w:lang w:val="en-US" w:eastAsia="ko-KR"/>
        </w:rPr>
        <w:fldChar w:fldCharType="begin"/>
      </w:r>
      <w:r>
        <w:rPr>
          <w:kern w:val="2"/>
          <w:lang w:val="en-US" w:eastAsia="ko-KR"/>
        </w:rPr>
        <w:instrText xml:space="preserve"> REF _Ref490289755 \h </w:instrText>
      </w:r>
      <w:r>
        <w:rPr>
          <w:kern w:val="2"/>
          <w:lang w:val="en-US" w:eastAsia="ko-KR"/>
        </w:rPr>
      </w:r>
      <w:r>
        <w:rPr>
          <w:kern w:val="2"/>
          <w:lang w:val="en-US" w:eastAsia="ko-KR"/>
        </w:rPr>
        <w:fldChar w:fldCharType="separate"/>
      </w:r>
      <w:r>
        <w:t xml:space="preserve">Figure </w:t>
      </w:r>
      <w:r>
        <w:rPr>
          <w:noProof/>
        </w:rPr>
        <w:t>1</w:t>
      </w:r>
      <w:r>
        <w:rPr>
          <w:kern w:val="2"/>
          <w:lang w:val="en-US" w:eastAsia="ko-KR"/>
        </w:rPr>
        <w:fldChar w:fldCharType="end"/>
      </w:r>
      <w:r>
        <w:rPr>
          <w:kern w:val="2"/>
          <w:lang w:val="en-US" w:eastAsia="ko-KR"/>
        </w:rPr>
        <w:t xml:space="preserve">. The pattern shows that the frequency separation of each resource is 3.75 kHz which is the same as legacy NPRACH, and the minimum frequency hopping distance </w:t>
      </w:r>
      <w:r w:rsidR="004229B1">
        <w:rPr>
          <w:kern w:val="2"/>
          <w:lang w:val="en-US" w:eastAsia="ko-KR"/>
        </w:rPr>
        <w:t xml:space="preserve">of 1.25 kHz </w:t>
      </w:r>
      <w:r>
        <w:rPr>
          <w:kern w:val="2"/>
          <w:lang w:val="en-US" w:eastAsia="ko-KR"/>
        </w:rPr>
        <w:t>is provided by the adjacent symbol</w:t>
      </w:r>
      <w:r w:rsidR="00320EDD">
        <w:rPr>
          <w:kern w:val="2"/>
          <w:lang w:val="en-US" w:eastAsia="ko-KR"/>
        </w:rPr>
        <w:t xml:space="preserve">, more specifically between the first and second symbol groups. </w:t>
      </w:r>
    </w:p>
    <w:p w14:paraId="43D10DBA" w14:textId="77777777" w:rsidR="00301F44" w:rsidRPr="000F2E12" w:rsidRDefault="00301F44" w:rsidP="0078419B">
      <w:pPr>
        <w:spacing w:afterLines="50" w:line="276" w:lineRule="auto"/>
        <w:ind w:firstLineChars="193" w:firstLine="425"/>
        <w:rPr>
          <w:kern w:val="2"/>
          <w:lang w:val="en-US" w:eastAsia="ko-KR"/>
        </w:rPr>
      </w:pPr>
    </w:p>
    <w:p w14:paraId="09F7ECE3" w14:textId="77777777" w:rsidR="00A53F26" w:rsidRDefault="00301F44" w:rsidP="000F2E12">
      <w:pPr>
        <w:keepNext/>
        <w:spacing w:afterLines="50" w:line="276" w:lineRule="auto"/>
        <w:ind w:firstLineChars="193" w:firstLine="425"/>
        <w:jc w:val="center"/>
      </w:pPr>
      <w:r>
        <w:rPr>
          <w:noProof/>
          <w:kern w:val="2"/>
          <w:lang w:val="en-US" w:eastAsia="ko-KR"/>
        </w:rPr>
        <w:lastRenderedPageBreak/>
        <w:drawing>
          <wp:inline distT="0" distB="0" distL="0" distR="0" wp14:anchorId="6115C528" wp14:editId="2C5ABD00">
            <wp:extent cx="3590290" cy="38855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0290" cy="3885565"/>
                    </a:xfrm>
                    <a:prstGeom prst="rect">
                      <a:avLst/>
                    </a:prstGeom>
                    <a:noFill/>
                  </pic:spPr>
                </pic:pic>
              </a:graphicData>
            </a:graphic>
          </wp:inline>
        </w:drawing>
      </w:r>
    </w:p>
    <w:p w14:paraId="4608666C" w14:textId="5C3BB5CE" w:rsidR="00301F44" w:rsidRPr="000F2E12" w:rsidRDefault="00A53F26" w:rsidP="000F2E12">
      <w:pPr>
        <w:pStyle w:val="a3"/>
        <w:rPr>
          <w:b w:val="0"/>
          <w:kern w:val="2"/>
          <w:lang w:val="en-US" w:eastAsia="ko-KR"/>
        </w:rPr>
      </w:pPr>
      <w:bookmarkStart w:id="4" w:name="_Ref490289755"/>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1</w:t>
      </w:r>
      <w:r w:rsidRPr="000F2E12">
        <w:rPr>
          <w:b w:val="0"/>
        </w:rPr>
        <w:fldChar w:fldCharType="end"/>
      </w:r>
      <w:bookmarkEnd w:id="4"/>
      <w:r>
        <w:rPr>
          <w:b w:val="0"/>
        </w:rPr>
        <w:t xml:space="preserve"> </w:t>
      </w:r>
      <w:r w:rsidR="001E6434">
        <w:rPr>
          <w:b w:val="0"/>
        </w:rPr>
        <w:t>Approach 1: Basic mapping</w:t>
      </w:r>
    </w:p>
    <w:p w14:paraId="73DC04BD" w14:textId="16145625" w:rsidR="00320EDD" w:rsidRDefault="004229B1" w:rsidP="0078419B">
      <w:pPr>
        <w:spacing w:afterLines="50" w:line="276" w:lineRule="auto"/>
        <w:ind w:firstLineChars="193" w:firstLine="425"/>
        <w:rPr>
          <w:kern w:val="2"/>
          <w:lang w:val="en-US" w:eastAsia="ko-KR"/>
        </w:rPr>
      </w:pPr>
      <w:r>
        <w:rPr>
          <w:kern w:val="2"/>
          <w:lang w:val="en-US" w:eastAsia="ko-KR"/>
        </w:rPr>
        <w:t xml:space="preserve">The approach 1 </w:t>
      </w:r>
      <w:r w:rsidR="00320EDD">
        <w:rPr>
          <w:kern w:val="2"/>
          <w:lang w:val="en-US" w:eastAsia="ko-KR"/>
        </w:rPr>
        <w:t>can be implemented by the</w:t>
      </w:r>
      <w:r>
        <w:rPr>
          <w:kern w:val="2"/>
          <w:lang w:val="en-US" w:eastAsia="ko-KR"/>
        </w:rPr>
        <w:t xml:space="preserve"> following</w:t>
      </w:r>
      <w:r w:rsidR="00320EDD">
        <w:rPr>
          <w:kern w:val="2"/>
          <w:lang w:val="en-US" w:eastAsia="ko-KR"/>
        </w:rPr>
        <w:t xml:space="preserve"> equation: (for notations, refer to TS 36.211 spec)</w:t>
      </w:r>
    </w:p>
    <w:p w14:paraId="4792309B" w14:textId="2193B47A" w:rsidR="00435297" w:rsidRPr="00FA7520" w:rsidRDefault="00320EDD" w:rsidP="000F2E12">
      <w:pPr>
        <w:spacing w:afterLines="50" w:line="276" w:lineRule="auto"/>
        <w:ind w:firstLineChars="193" w:firstLine="425"/>
        <w:jc w:val="center"/>
        <w:rPr>
          <w:kern w:val="2"/>
          <w:lang w:val="en-US" w:eastAsia="ko-KR"/>
        </w:rPr>
      </w:pPr>
      <w:r w:rsidRPr="0024288D">
        <w:rPr>
          <w:position w:val="-68"/>
        </w:rPr>
        <w:object w:dxaOrig="6660" w:dyaOrig="3000" w14:anchorId="2C5B1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5pt;height:149.95pt" o:ole="">
            <v:imagedata r:id="rId9" o:title=""/>
          </v:shape>
          <o:OLEObject Type="Embed" ProgID="Equation.3" ShapeID="_x0000_i1025" DrawAspect="Content" ObjectID="_1568137800" r:id="rId10"/>
        </w:object>
      </w:r>
    </w:p>
    <w:p w14:paraId="7C9875F3" w14:textId="076DD932" w:rsidR="00301F44" w:rsidRDefault="00301F44">
      <w:pPr>
        <w:spacing w:afterLines="50" w:line="276" w:lineRule="auto"/>
        <w:ind w:firstLineChars="193" w:firstLine="425"/>
        <w:rPr>
          <w:kern w:val="2"/>
          <w:lang w:val="en-US" w:eastAsia="ko-KR"/>
        </w:rPr>
      </w:pPr>
    </w:p>
    <w:p w14:paraId="2354C738" w14:textId="1D6255C6" w:rsidR="00455F4D" w:rsidRDefault="00455F4D" w:rsidP="00455F4D">
      <w:pPr>
        <w:pStyle w:val="2"/>
        <w:spacing w:before="120"/>
      </w:pPr>
      <w:r>
        <w:t xml:space="preserve">Approach 2: </w:t>
      </w:r>
      <w:r w:rsidR="00C5246A">
        <w:t xml:space="preserve">Boundary </w:t>
      </w:r>
      <w:r w:rsidR="00634146">
        <w:t>allocation</w:t>
      </w:r>
    </w:p>
    <w:p w14:paraId="07FFA369" w14:textId="43D2762C" w:rsidR="004A218F" w:rsidRDefault="00D16898" w:rsidP="000F2E12">
      <w:pPr>
        <w:spacing w:afterLines="50" w:line="276" w:lineRule="auto"/>
        <w:ind w:firstLineChars="193" w:firstLine="425"/>
        <w:rPr>
          <w:kern w:val="2"/>
          <w:lang w:val="en-US" w:eastAsia="ko-KR"/>
        </w:rPr>
      </w:pPr>
      <w:r>
        <w:rPr>
          <w:kern w:val="2"/>
          <w:lang w:val="en-US" w:eastAsia="ko-KR"/>
        </w:rPr>
        <w:t xml:space="preserve">Approach 2, so called boundary mapping, minimizes the interference between enhanced preambles and enhanced preambles by allocating subcarriers of the enhance preamble at the boundaries of 3.75 kHz subcarriers. </w:t>
      </w:r>
      <w:r w:rsidR="001E6434">
        <w:rPr>
          <w:kern w:val="2"/>
          <w:lang w:val="en-US" w:eastAsia="ko-KR"/>
        </w:rPr>
        <w:fldChar w:fldCharType="begin"/>
      </w:r>
      <w:r w:rsidR="001E6434">
        <w:rPr>
          <w:kern w:val="2"/>
          <w:lang w:val="en-US" w:eastAsia="ko-KR"/>
        </w:rPr>
        <w:instrText xml:space="preserve"> REF _Ref490292014 \h </w:instrText>
      </w:r>
      <w:r w:rsidR="001E6434">
        <w:rPr>
          <w:kern w:val="2"/>
          <w:lang w:val="en-US" w:eastAsia="ko-KR"/>
        </w:rPr>
      </w:r>
      <w:r w:rsidR="001E6434">
        <w:rPr>
          <w:kern w:val="2"/>
          <w:lang w:val="en-US" w:eastAsia="ko-KR"/>
        </w:rPr>
        <w:fldChar w:fldCharType="separate"/>
      </w:r>
      <w:r w:rsidR="001E6434">
        <w:t xml:space="preserve">Figure </w:t>
      </w:r>
      <w:r w:rsidR="001E6434">
        <w:rPr>
          <w:noProof/>
        </w:rPr>
        <w:t>2</w:t>
      </w:r>
      <w:r w:rsidR="001E6434">
        <w:rPr>
          <w:kern w:val="2"/>
          <w:lang w:val="en-US" w:eastAsia="ko-KR"/>
        </w:rPr>
        <w:fldChar w:fldCharType="end"/>
      </w:r>
      <w:r w:rsidR="001E6434">
        <w:rPr>
          <w:kern w:val="2"/>
          <w:lang w:val="en-US" w:eastAsia="ko-KR"/>
        </w:rPr>
        <w:t xml:space="preserve"> shows the boundary mapping. </w:t>
      </w:r>
      <w:r>
        <w:rPr>
          <w:kern w:val="2"/>
          <w:lang w:val="en-US" w:eastAsia="ko-KR"/>
        </w:rPr>
        <w:t xml:space="preserve">Compared to approach </w:t>
      </w:r>
      <w:r w:rsidR="00CD582F">
        <w:rPr>
          <w:kern w:val="2"/>
          <w:lang w:val="en-US" w:eastAsia="ko-KR"/>
        </w:rPr>
        <w:t xml:space="preserve">(a), (b) shows that the complication arising from the unique frequency hopping pattern of edge resources can be avoided by not assigning the edge resources for enhanced preambles. </w:t>
      </w:r>
    </w:p>
    <w:p w14:paraId="5832F711" w14:textId="77777777" w:rsidR="00301F44" w:rsidRDefault="00301F44" w:rsidP="00455F4D">
      <w:pPr>
        <w:spacing w:afterLines="50" w:line="276" w:lineRule="auto"/>
        <w:ind w:firstLineChars="193" w:firstLine="425"/>
        <w:rPr>
          <w:kern w:val="2"/>
          <w:lang w:val="en-US" w:eastAsia="ko-KR"/>
        </w:rPr>
      </w:pPr>
    </w:p>
    <w:p w14:paraId="1D6909AA" w14:textId="4CD08DFD" w:rsidR="004229B1" w:rsidRDefault="00D16898" w:rsidP="000F2E12">
      <w:pPr>
        <w:keepNext/>
        <w:spacing w:afterLines="50" w:line="276" w:lineRule="auto"/>
        <w:ind w:firstLineChars="193" w:firstLine="425"/>
        <w:jc w:val="center"/>
      </w:pPr>
      <w:r>
        <w:rPr>
          <w:noProof/>
          <w:lang w:val="en-US" w:eastAsia="ko-KR"/>
        </w:rPr>
        <w:lastRenderedPageBreak/>
        <w:drawing>
          <wp:inline distT="0" distB="0" distL="0" distR="0" wp14:anchorId="63C58FD4" wp14:editId="3A7495DE">
            <wp:extent cx="5622471" cy="3194666"/>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1633" cy="3199872"/>
                    </a:xfrm>
                    <a:prstGeom prst="rect">
                      <a:avLst/>
                    </a:prstGeom>
                    <a:noFill/>
                  </pic:spPr>
                </pic:pic>
              </a:graphicData>
            </a:graphic>
          </wp:inline>
        </w:drawing>
      </w:r>
    </w:p>
    <w:p w14:paraId="363D26EF" w14:textId="79BA806A" w:rsidR="00301F44" w:rsidRPr="000F2E12" w:rsidRDefault="004229B1" w:rsidP="000F2E12">
      <w:pPr>
        <w:pStyle w:val="a3"/>
        <w:rPr>
          <w:b w:val="0"/>
          <w:kern w:val="2"/>
          <w:lang w:val="en-US" w:eastAsia="ko-KR"/>
        </w:rPr>
      </w:pPr>
      <w:bookmarkStart w:id="5" w:name="_Ref490292014"/>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2</w:t>
      </w:r>
      <w:r w:rsidRPr="000F2E12">
        <w:rPr>
          <w:b w:val="0"/>
        </w:rPr>
        <w:fldChar w:fldCharType="end"/>
      </w:r>
      <w:bookmarkEnd w:id="5"/>
      <w:r w:rsidR="001E6434" w:rsidRPr="000F2E12">
        <w:rPr>
          <w:b w:val="0"/>
        </w:rPr>
        <w:t xml:space="preserve"> Approach 2</w:t>
      </w:r>
      <w:r w:rsidR="001E6434">
        <w:rPr>
          <w:b w:val="0"/>
        </w:rPr>
        <w:t>:</w:t>
      </w:r>
      <w:r w:rsidR="001E6434" w:rsidRPr="000F2E12">
        <w:rPr>
          <w:b w:val="0"/>
        </w:rPr>
        <w:t xml:space="preserve"> Boundary mapping </w:t>
      </w:r>
    </w:p>
    <w:p w14:paraId="66F73B61" w14:textId="77777777" w:rsidR="00656EC9" w:rsidRDefault="00656EC9">
      <w:pPr>
        <w:spacing w:afterLines="50" w:line="276" w:lineRule="auto"/>
        <w:ind w:firstLineChars="193" w:firstLine="425"/>
        <w:rPr>
          <w:kern w:val="2"/>
          <w:lang w:val="en-US" w:eastAsia="ko-KR"/>
        </w:rPr>
      </w:pPr>
    </w:p>
    <w:p w14:paraId="44F548A1" w14:textId="04F7BB7B" w:rsidR="00455F4D" w:rsidRDefault="00656EC9">
      <w:pPr>
        <w:spacing w:afterLines="50" w:line="276" w:lineRule="auto"/>
        <w:ind w:firstLineChars="193" w:firstLine="425"/>
        <w:rPr>
          <w:kern w:val="2"/>
          <w:lang w:val="en-US" w:eastAsia="ko-KR"/>
        </w:rPr>
      </w:pPr>
      <w:r>
        <w:rPr>
          <w:kern w:val="2"/>
          <w:lang w:val="en-US" w:eastAsia="ko-KR"/>
        </w:rPr>
        <w:fldChar w:fldCharType="begin"/>
      </w:r>
      <w:r>
        <w:rPr>
          <w:kern w:val="2"/>
          <w:lang w:val="en-US" w:eastAsia="ko-KR"/>
        </w:rPr>
        <w:instrText xml:space="preserve"> REF _Ref490292766 \h </w:instrText>
      </w:r>
      <w:r>
        <w:rPr>
          <w:kern w:val="2"/>
          <w:lang w:val="en-US" w:eastAsia="ko-KR"/>
        </w:rPr>
      </w:r>
      <w:r>
        <w:rPr>
          <w:kern w:val="2"/>
          <w:lang w:val="en-US" w:eastAsia="ko-KR"/>
        </w:rPr>
        <w:fldChar w:fldCharType="separate"/>
      </w:r>
      <w:r w:rsidRPr="000F2E12">
        <w:t xml:space="preserve">Figure </w:t>
      </w:r>
      <w:r w:rsidRPr="000F2E12">
        <w:rPr>
          <w:noProof/>
        </w:rPr>
        <w:t>3</w:t>
      </w:r>
      <w:r>
        <w:rPr>
          <w:kern w:val="2"/>
          <w:lang w:val="en-US" w:eastAsia="ko-KR"/>
        </w:rPr>
        <w:fldChar w:fldCharType="end"/>
      </w:r>
      <w:r>
        <w:rPr>
          <w:rFonts w:hint="eastAsia"/>
          <w:kern w:val="2"/>
          <w:lang w:val="en-US" w:eastAsia="ko-KR"/>
        </w:rPr>
        <w:t xml:space="preserve"> shows </w:t>
      </w:r>
      <w:r>
        <w:rPr>
          <w:kern w:val="2"/>
          <w:lang w:val="en-US" w:eastAsia="ko-KR"/>
        </w:rPr>
        <w:t xml:space="preserve">an implementation of the boundary mapping using 1.25 kHz subcarrier spacing. </w:t>
      </w:r>
      <w:r w:rsidR="008B23B4">
        <w:rPr>
          <w:kern w:val="2"/>
          <w:lang w:val="en-US" w:eastAsia="ko-KR"/>
        </w:rPr>
        <w:t xml:space="preserve">By allocating only those boundary subcarriers to enhanced UEs, </w:t>
      </w:r>
      <w:r w:rsidR="00634146">
        <w:rPr>
          <w:kern w:val="2"/>
          <w:lang w:val="en-US" w:eastAsia="ko-KR"/>
        </w:rPr>
        <w:t xml:space="preserve">we can expect the same benefit of boundary allocation. </w:t>
      </w:r>
    </w:p>
    <w:p w14:paraId="573998F5" w14:textId="77777777" w:rsidR="00CD582F" w:rsidRDefault="00CD582F" w:rsidP="000F2E12">
      <w:pPr>
        <w:keepNext/>
        <w:spacing w:afterLines="50" w:line="276" w:lineRule="auto"/>
        <w:ind w:firstLineChars="193" w:firstLine="425"/>
        <w:jc w:val="center"/>
      </w:pPr>
      <w:r>
        <w:rPr>
          <w:noProof/>
          <w:kern w:val="2"/>
          <w:lang w:val="en-US" w:eastAsia="ko-KR"/>
        </w:rPr>
        <w:lastRenderedPageBreak/>
        <w:drawing>
          <wp:inline distT="0" distB="0" distL="0" distR="0" wp14:anchorId="18D792FD" wp14:editId="2B497FB5">
            <wp:extent cx="4180114" cy="4424151"/>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6383" cy="4430786"/>
                    </a:xfrm>
                    <a:prstGeom prst="rect">
                      <a:avLst/>
                    </a:prstGeom>
                    <a:noFill/>
                  </pic:spPr>
                </pic:pic>
              </a:graphicData>
            </a:graphic>
          </wp:inline>
        </w:drawing>
      </w:r>
    </w:p>
    <w:p w14:paraId="202AA9E8" w14:textId="5EC1420F" w:rsidR="00CD582F" w:rsidRPr="000F2E12" w:rsidRDefault="00CD582F" w:rsidP="000F2E12">
      <w:pPr>
        <w:pStyle w:val="a3"/>
        <w:rPr>
          <w:b w:val="0"/>
          <w:kern w:val="2"/>
          <w:lang w:val="en-US" w:eastAsia="ko-KR"/>
        </w:rPr>
      </w:pPr>
      <w:bookmarkStart w:id="6" w:name="_Ref490292766"/>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3</w:t>
      </w:r>
      <w:r w:rsidRPr="000F2E12">
        <w:rPr>
          <w:b w:val="0"/>
        </w:rPr>
        <w:fldChar w:fldCharType="end"/>
      </w:r>
      <w:bookmarkEnd w:id="6"/>
      <w:r w:rsidR="00656EC9">
        <w:rPr>
          <w:b w:val="0"/>
        </w:rPr>
        <w:t xml:space="preserve"> Approach 2: Boundary mapping (1.25 kHz subcarrier spacing)</w:t>
      </w:r>
    </w:p>
    <w:p w14:paraId="1FC4DF9B" w14:textId="77777777" w:rsidR="00CD582F" w:rsidRDefault="00CD582F">
      <w:pPr>
        <w:spacing w:afterLines="50" w:line="276" w:lineRule="auto"/>
        <w:ind w:firstLineChars="193" w:firstLine="425"/>
        <w:rPr>
          <w:kern w:val="2"/>
          <w:lang w:val="en-US" w:eastAsia="ko-KR"/>
        </w:rPr>
      </w:pPr>
    </w:p>
    <w:p w14:paraId="4FA8F462" w14:textId="7ED556BF" w:rsidR="00634146" w:rsidRDefault="00634146" w:rsidP="00634146">
      <w:pPr>
        <w:pStyle w:val="2"/>
        <w:spacing w:before="120"/>
      </w:pPr>
      <w:r>
        <w:t>Inter-preamble frequency hopping</w:t>
      </w:r>
    </w:p>
    <w:p w14:paraId="2EE0161B" w14:textId="27B20596" w:rsidR="00634146" w:rsidRDefault="00634146">
      <w:pPr>
        <w:spacing w:afterLines="50" w:line="276" w:lineRule="auto"/>
        <w:ind w:firstLineChars="193" w:firstLine="425"/>
        <w:rPr>
          <w:kern w:val="2"/>
          <w:lang w:val="en-US" w:eastAsia="ko-KR"/>
        </w:rPr>
      </w:pPr>
      <w:r>
        <w:rPr>
          <w:kern w:val="2"/>
          <w:lang w:val="en-US" w:eastAsia="ko-KR"/>
        </w:rPr>
        <w:t>T</w:t>
      </w:r>
      <w:r>
        <w:rPr>
          <w:rFonts w:hint="eastAsia"/>
          <w:kern w:val="2"/>
          <w:lang w:val="en-US" w:eastAsia="ko-KR"/>
        </w:rPr>
        <w:t xml:space="preserve">he </w:t>
      </w:r>
      <w:r>
        <w:rPr>
          <w:kern w:val="2"/>
          <w:lang w:val="en-US" w:eastAsia="ko-KR"/>
        </w:rPr>
        <w:t xml:space="preserve">legacy inter-preamble frequency hopping is shown in </w:t>
      </w:r>
      <w:r>
        <w:rPr>
          <w:kern w:val="2"/>
          <w:lang w:val="en-US" w:eastAsia="ko-KR"/>
        </w:rPr>
        <w:fldChar w:fldCharType="begin"/>
      </w:r>
      <w:r>
        <w:rPr>
          <w:kern w:val="2"/>
          <w:lang w:val="en-US" w:eastAsia="ko-KR"/>
        </w:rPr>
        <w:instrText xml:space="preserve"> REF _Ref490293761 \h </w:instrText>
      </w:r>
      <w:r>
        <w:rPr>
          <w:kern w:val="2"/>
          <w:lang w:val="en-US" w:eastAsia="ko-KR"/>
        </w:rPr>
      </w:r>
      <w:r>
        <w:rPr>
          <w:kern w:val="2"/>
          <w:lang w:val="en-US" w:eastAsia="ko-KR"/>
        </w:rPr>
        <w:fldChar w:fldCharType="separate"/>
      </w:r>
      <w:r w:rsidRPr="000F2E12">
        <w:t xml:space="preserve">Figure </w:t>
      </w:r>
      <w:r w:rsidRPr="000F2E12">
        <w:rPr>
          <w:noProof/>
        </w:rPr>
        <w:t>4</w:t>
      </w:r>
      <w:r>
        <w:rPr>
          <w:kern w:val="2"/>
          <w:lang w:val="en-US" w:eastAsia="ko-KR"/>
        </w:rPr>
        <w:fldChar w:fldCharType="end"/>
      </w:r>
      <w:r>
        <w:rPr>
          <w:kern w:val="2"/>
          <w:lang w:val="en-US" w:eastAsia="ko-KR"/>
        </w:rPr>
        <w:t xml:space="preserve"> (a). If the minimum </w:t>
      </w:r>
      <w:r w:rsidR="0059244C">
        <w:rPr>
          <w:kern w:val="2"/>
          <w:lang w:val="en-US" w:eastAsia="ko-KR"/>
        </w:rPr>
        <w:t xml:space="preserve">frequency </w:t>
      </w:r>
      <w:r>
        <w:rPr>
          <w:kern w:val="2"/>
          <w:lang w:val="en-US" w:eastAsia="ko-KR"/>
        </w:rPr>
        <w:t>hopping distance is 1.25 kHz</w:t>
      </w:r>
      <w:r>
        <w:rPr>
          <w:rFonts w:hint="eastAsia"/>
          <w:kern w:val="2"/>
          <w:lang w:val="en-US" w:eastAsia="ko-KR"/>
        </w:rPr>
        <w:t xml:space="preserve"> </w:t>
      </w:r>
      <w:r>
        <w:rPr>
          <w:kern w:val="2"/>
          <w:lang w:val="en-US" w:eastAsia="ko-KR"/>
        </w:rPr>
        <w:t xml:space="preserve">and </w:t>
      </w:r>
      <w:r w:rsidR="0059244C">
        <w:rPr>
          <w:kern w:val="2"/>
          <w:lang w:val="en-US" w:eastAsia="ko-KR"/>
        </w:rPr>
        <w:t>the next higher frequency hopping distance is 6*3.75 kHz, then the transition from the coarse timing estimation to the fine timing estimation may not be succeed in some noisy environment. In the pair</w:t>
      </w:r>
      <w:r w:rsidR="00A533F6">
        <w:rPr>
          <w:kern w:val="2"/>
          <w:lang w:val="en-US" w:eastAsia="ko-KR"/>
        </w:rPr>
        <w:t>ed inter-preamble frequency hopping (</w:t>
      </w:r>
      <w:r w:rsidR="00A533F6">
        <w:rPr>
          <w:kern w:val="2"/>
          <w:lang w:val="en-US" w:eastAsia="ko-KR"/>
        </w:rPr>
        <w:fldChar w:fldCharType="begin"/>
      </w:r>
      <w:r w:rsidR="00A533F6">
        <w:rPr>
          <w:kern w:val="2"/>
          <w:lang w:val="en-US" w:eastAsia="ko-KR"/>
        </w:rPr>
        <w:instrText xml:space="preserve"> REF _Ref490293761 \h </w:instrText>
      </w:r>
      <w:r w:rsidR="00A533F6">
        <w:rPr>
          <w:kern w:val="2"/>
          <w:lang w:val="en-US" w:eastAsia="ko-KR"/>
        </w:rPr>
      </w:r>
      <w:r w:rsidR="00A533F6">
        <w:rPr>
          <w:kern w:val="2"/>
          <w:lang w:val="en-US" w:eastAsia="ko-KR"/>
        </w:rPr>
        <w:fldChar w:fldCharType="separate"/>
      </w:r>
      <w:r w:rsidR="00A533F6" w:rsidRPr="000F2E12">
        <w:t xml:space="preserve">Figure </w:t>
      </w:r>
      <w:r w:rsidR="00A533F6" w:rsidRPr="000F2E12">
        <w:rPr>
          <w:noProof/>
        </w:rPr>
        <w:t>4</w:t>
      </w:r>
      <w:r w:rsidR="00A533F6">
        <w:rPr>
          <w:kern w:val="2"/>
          <w:lang w:val="en-US" w:eastAsia="ko-KR"/>
        </w:rPr>
        <w:fldChar w:fldCharType="end"/>
      </w:r>
      <w:r w:rsidR="00A533F6">
        <w:rPr>
          <w:kern w:val="2"/>
          <w:lang w:val="en-US" w:eastAsia="ko-KR"/>
        </w:rPr>
        <w:t>), intermediate frequency hopping, i.e., 3*3.75 kHz, is always provided within the pair to help transition from the coarse to fine to be successful even in noisy environment.</w:t>
      </w:r>
      <w:r w:rsidR="00BF23DE">
        <w:rPr>
          <w:kern w:val="2"/>
          <w:lang w:val="en-US" w:eastAsia="ko-KR"/>
        </w:rPr>
        <w:t xml:space="preserve"> </w:t>
      </w:r>
    </w:p>
    <w:p w14:paraId="0D58DE39" w14:textId="71B05410" w:rsidR="00634146" w:rsidRDefault="0059244C" w:rsidP="000F2E12">
      <w:pPr>
        <w:keepNext/>
        <w:spacing w:afterLines="50" w:line="276" w:lineRule="auto"/>
        <w:ind w:firstLineChars="193" w:firstLine="425"/>
        <w:jc w:val="center"/>
      </w:pPr>
      <w:r>
        <w:rPr>
          <w:noProof/>
          <w:lang w:val="en-US" w:eastAsia="ko-KR"/>
        </w:rPr>
        <w:lastRenderedPageBreak/>
        <w:drawing>
          <wp:inline distT="0" distB="0" distL="0" distR="0" wp14:anchorId="35A1E880" wp14:editId="0B653CB0">
            <wp:extent cx="5058766" cy="5224693"/>
            <wp:effectExtent l="0" t="0" r="889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350" cy="5231493"/>
                    </a:xfrm>
                    <a:prstGeom prst="rect">
                      <a:avLst/>
                    </a:prstGeom>
                    <a:noFill/>
                  </pic:spPr>
                </pic:pic>
              </a:graphicData>
            </a:graphic>
          </wp:inline>
        </w:drawing>
      </w:r>
    </w:p>
    <w:p w14:paraId="65BCDB07" w14:textId="1B52040F" w:rsidR="00634146" w:rsidRDefault="00634146" w:rsidP="000F2E12">
      <w:pPr>
        <w:pStyle w:val="a3"/>
        <w:rPr>
          <w:b w:val="0"/>
        </w:rPr>
      </w:pPr>
      <w:bookmarkStart w:id="7" w:name="_Ref490293761"/>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Pr="000F2E12">
        <w:rPr>
          <w:b w:val="0"/>
          <w:noProof/>
        </w:rPr>
        <w:t>4</w:t>
      </w:r>
      <w:r w:rsidRPr="000F2E12">
        <w:rPr>
          <w:b w:val="0"/>
        </w:rPr>
        <w:fldChar w:fldCharType="end"/>
      </w:r>
      <w:bookmarkEnd w:id="7"/>
      <w:r>
        <w:rPr>
          <w:b w:val="0"/>
        </w:rPr>
        <w:t xml:space="preserve"> Inter-preamble frequency hopping</w:t>
      </w:r>
    </w:p>
    <w:p w14:paraId="329B86B4" w14:textId="77777777" w:rsidR="0041710A" w:rsidRDefault="0041710A" w:rsidP="0041710A">
      <w:pPr>
        <w:spacing w:afterLines="50" w:line="276" w:lineRule="auto"/>
        <w:rPr>
          <w:b/>
          <w:i/>
          <w:kern w:val="2"/>
          <w:u w:val="single"/>
          <w:lang w:eastAsia="ko-KR"/>
        </w:rPr>
      </w:pPr>
    </w:p>
    <w:p w14:paraId="22124987" w14:textId="0B6E1390"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4</w:t>
      </w:r>
      <w:r w:rsidRPr="00EA0986">
        <w:rPr>
          <w:b/>
          <w:i/>
          <w:kern w:val="2"/>
          <w:u w:val="single"/>
          <w:lang w:eastAsia="ko-KR"/>
        </w:rPr>
        <w:t xml:space="preserve">: </w:t>
      </w:r>
      <w:r>
        <w:rPr>
          <w:b/>
          <w:i/>
          <w:kern w:val="2"/>
          <w:u w:val="single"/>
          <w:lang w:eastAsia="ko-KR"/>
        </w:rPr>
        <w:t>Consider the basic allocation (alternative 1) and the boundary allocation (alternative 2) as the resource allocation and frequency hopping scheme for NPRACH enhancement.</w:t>
      </w:r>
    </w:p>
    <w:p w14:paraId="72397A35" w14:textId="77777777" w:rsidR="0041710A" w:rsidRDefault="0041710A" w:rsidP="000F2E12">
      <w:pPr>
        <w:rPr>
          <w:rFonts w:eastAsia="SimSun"/>
        </w:rPr>
      </w:pPr>
    </w:p>
    <w:p w14:paraId="67374912" w14:textId="48AF7FBE" w:rsidR="00BF23DE" w:rsidRPr="00EA0986" w:rsidRDefault="00BF23DE" w:rsidP="00BF23DE">
      <w:pPr>
        <w:spacing w:afterLines="50" w:line="276" w:lineRule="auto"/>
        <w:rPr>
          <w:b/>
          <w:i/>
          <w:kern w:val="2"/>
          <w:u w:val="single"/>
          <w:lang w:eastAsia="ko-KR"/>
        </w:rPr>
      </w:pPr>
      <w:r w:rsidRPr="00EA0986">
        <w:rPr>
          <w:b/>
          <w:i/>
          <w:kern w:val="2"/>
          <w:u w:val="single"/>
          <w:lang w:eastAsia="ko-KR"/>
        </w:rPr>
        <w:t xml:space="preserve">Proposal </w:t>
      </w:r>
      <w:r w:rsidR="0041710A">
        <w:rPr>
          <w:b/>
          <w:i/>
          <w:kern w:val="2"/>
          <w:u w:val="single"/>
          <w:lang w:eastAsia="ko-KR"/>
        </w:rPr>
        <w:t>5</w:t>
      </w:r>
      <w:r w:rsidRPr="00EA0986">
        <w:rPr>
          <w:b/>
          <w:i/>
          <w:kern w:val="2"/>
          <w:u w:val="single"/>
          <w:lang w:eastAsia="ko-KR"/>
        </w:rPr>
        <w:t xml:space="preserve">: </w:t>
      </w:r>
      <w:r>
        <w:rPr>
          <w:b/>
          <w:i/>
          <w:kern w:val="2"/>
          <w:u w:val="single"/>
          <w:lang w:eastAsia="ko-KR"/>
        </w:rPr>
        <w:t>Consider the paired inter-preamble frequency hopping to improve the reliability of timing estimation acquisition with the minimum frequency hopping distance.</w:t>
      </w:r>
    </w:p>
    <w:p w14:paraId="0787EEF2" w14:textId="77777777" w:rsidR="00BF23DE" w:rsidRPr="000F2E12" w:rsidRDefault="00BF23DE" w:rsidP="000F2E12">
      <w:pPr>
        <w:rPr>
          <w:rFonts w:eastAsia="SimSun"/>
        </w:rPr>
      </w:pPr>
    </w:p>
    <w:p w14:paraId="69B83056" w14:textId="7697B0BF" w:rsidR="00312374" w:rsidRDefault="00312374" w:rsidP="00312374">
      <w:pPr>
        <w:pStyle w:val="2"/>
        <w:spacing w:before="120"/>
      </w:pPr>
      <w:r>
        <w:t>Further consideration</w:t>
      </w:r>
    </w:p>
    <w:p w14:paraId="0D8F048F" w14:textId="3E6F521E" w:rsidR="00AB3ADE" w:rsidRDefault="001D671D">
      <w:pPr>
        <w:spacing w:afterLines="50" w:line="276" w:lineRule="auto"/>
        <w:ind w:firstLineChars="193" w:firstLine="425"/>
        <w:rPr>
          <w:kern w:val="2"/>
          <w:lang w:val="en-US" w:eastAsia="ko-KR"/>
        </w:rPr>
      </w:pPr>
      <w:r>
        <w:rPr>
          <w:rFonts w:hint="eastAsia"/>
          <w:kern w:val="2"/>
          <w:lang w:val="en-US" w:eastAsia="ko-KR"/>
        </w:rPr>
        <w:t xml:space="preserve">In the current NPRACH for NB-IoT, there is no </w:t>
      </w:r>
      <w:r>
        <w:rPr>
          <w:kern w:val="2"/>
          <w:lang w:val="en-US" w:eastAsia="ko-KR"/>
        </w:rPr>
        <w:t xml:space="preserve">explicit </w:t>
      </w:r>
      <w:r>
        <w:rPr>
          <w:rFonts w:hint="eastAsia"/>
          <w:kern w:val="2"/>
          <w:lang w:val="en-US" w:eastAsia="ko-KR"/>
        </w:rPr>
        <w:t>guard time</w:t>
      </w:r>
      <w:r w:rsidR="00BE4D60">
        <w:rPr>
          <w:kern w:val="2"/>
          <w:lang w:val="en-US" w:eastAsia="ko-KR"/>
        </w:rPr>
        <w:t xml:space="preserve"> (GT)</w:t>
      </w:r>
      <w:r>
        <w:rPr>
          <w:rFonts w:hint="eastAsia"/>
          <w:kern w:val="2"/>
          <w:lang w:val="en-US" w:eastAsia="ko-KR"/>
        </w:rPr>
        <w:t xml:space="preserve"> </w:t>
      </w:r>
      <w:r>
        <w:rPr>
          <w:kern w:val="2"/>
          <w:lang w:val="en-US" w:eastAsia="ko-KR"/>
        </w:rPr>
        <w:t xml:space="preserve">defined as in LTE. Without a proper </w:t>
      </w:r>
      <w:r w:rsidRPr="001D671D">
        <w:rPr>
          <w:kern w:val="2"/>
          <w:lang w:val="en-US" w:eastAsia="ko-KR"/>
        </w:rPr>
        <w:t>guard time</w:t>
      </w:r>
      <w:r>
        <w:rPr>
          <w:kern w:val="2"/>
          <w:lang w:val="en-US" w:eastAsia="ko-KR"/>
        </w:rPr>
        <w:t>,</w:t>
      </w:r>
      <w:r w:rsidRPr="001D671D">
        <w:rPr>
          <w:kern w:val="2"/>
          <w:lang w:val="en-US" w:eastAsia="ko-KR"/>
        </w:rPr>
        <w:t xml:space="preserve"> random access preamble </w:t>
      </w:r>
      <w:r>
        <w:rPr>
          <w:kern w:val="2"/>
          <w:lang w:val="en-US" w:eastAsia="ko-KR"/>
        </w:rPr>
        <w:t>would</w:t>
      </w:r>
      <w:r w:rsidRPr="001D671D">
        <w:rPr>
          <w:kern w:val="2"/>
          <w:lang w:val="en-US" w:eastAsia="ko-KR"/>
        </w:rPr>
        <w:t xml:space="preserve"> overlap the following subframe at the </w:t>
      </w:r>
      <w:r>
        <w:rPr>
          <w:kern w:val="2"/>
          <w:lang w:val="en-US" w:eastAsia="ko-KR"/>
        </w:rPr>
        <w:t>eNB</w:t>
      </w:r>
      <w:r w:rsidRPr="001D671D">
        <w:rPr>
          <w:kern w:val="2"/>
          <w:lang w:val="en-US" w:eastAsia="ko-KR"/>
        </w:rPr>
        <w:t xml:space="preserve"> receiver.</w:t>
      </w:r>
      <w:r w:rsidR="00425CFC">
        <w:rPr>
          <w:kern w:val="2"/>
          <w:lang w:val="en-US" w:eastAsia="ko-KR"/>
        </w:rPr>
        <w:t xml:space="preserve"> Fortunatel</w:t>
      </w:r>
      <w:r w:rsidR="00F6167C">
        <w:rPr>
          <w:kern w:val="2"/>
          <w:lang w:val="en-US" w:eastAsia="ko-KR"/>
        </w:rPr>
        <w:t xml:space="preserve">y, however, </w:t>
      </w:r>
      <w:r w:rsidR="00BE4D60">
        <w:rPr>
          <w:kern w:val="2"/>
          <w:lang w:val="en-US" w:eastAsia="ko-KR"/>
        </w:rPr>
        <w:t>given</w:t>
      </w:r>
      <w:r w:rsidR="00F6167C">
        <w:rPr>
          <w:kern w:val="2"/>
          <w:lang w:val="en-US" w:eastAsia="ko-KR"/>
        </w:rPr>
        <w:t xml:space="preserve"> the fact that random access preamble in NB-IoT has the length of either 5.6 us for preamble format 0 or 6.4 us for preamble format 1</w:t>
      </w:r>
      <w:r w:rsidR="00BE4D60">
        <w:rPr>
          <w:kern w:val="2"/>
          <w:lang w:val="en-US" w:eastAsia="ko-KR"/>
        </w:rPr>
        <w:t xml:space="preserve"> and also given the supported number of repetitions</w:t>
      </w:r>
      <w:r w:rsidR="00F6167C">
        <w:rPr>
          <w:kern w:val="2"/>
          <w:lang w:val="en-US" w:eastAsia="ko-KR"/>
        </w:rPr>
        <w:t xml:space="preserve">, there </w:t>
      </w:r>
      <w:r w:rsidR="00BE4D60">
        <w:rPr>
          <w:kern w:val="2"/>
          <w:lang w:val="en-US" w:eastAsia="ko-KR"/>
        </w:rPr>
        <w:t>is</w:t>
      </w:r>
      <w:r w:rsidR="00F6167C">
        <w:rPr>
          <w:kern w:val="2"/>
          <w:lang w:val="en-US" w:eastAsia="ko-KR"/>
        </w:rPr>
        <w:t xml:space="preserve"> always</w:t>
      </w:r>
      <w:r w:rsidR="00BE4D60">
        <w:rPr>
          <w:kern w:val="2"/>
          <w:lang w:val="en-US" w:eastAsia="ko-KR"/>
        </w:rPr>
        <w:t xml:space="preserve"> a</w:t>
      </w:r>
      <w:r w:rsidR="00F6167C">
        <w:rPr>
          <w:kern w:val="2"/>
          <w:lang w:val="en-US" w:eastAsia="ko-KR"/>
        </w:rPr>
        <w:t xml:space="preserve"> time gap between the end of the preamble repetition and the following subframe boundary. </w:t>
      </w:r>
      <w:r w:rsidR="006106E3">
        <w:rPr>
          <w:kern w:val="2"/>
          <w:lang w:val="en-US" w:eastAsia="ko-KR"/>
        </w:rPr>
        <w:t>The time gap takes one value out of {200, 400, 600, 800} us depending on the number of repetitions</w:t>
      </w:r>
      <w:r w:rsidR="00C17044">
        <w:rPr>
          <w:kern w:val="2"/>
          <w:lang w:val="en-US" w:eastAsia="ko-KR"/>
        </w:rPr>
        <w:t xml:space="preserve"> (</w:t>
      </w:r>
      <w:r w:rsidR="00C17044">
        <w:rPr>
          <w:kern w:val="2"/>
          <w:lang w:val="en-US" w:eastAsia="ko-KR"/>
        </w:rPr>
        <w:fldChar w:fldCharType="begin"/>
      </w:r>
      <w:r w:rsidR="00C17044">
        <w:rPr>
          <w:kern w:val="2"/>
          <w:lang w:val="en-US" w:eastAsia="ko-KR"/>
        </w:rPr>
        <w:instrText xml:space="preserve"> REF _Ref490300984 \h </w:instrText>
      </w:r>
      <w:r w:rsidR="00C17044">
        <w:rPr>
          <w:kern w:val="2"/>
          <w:lang w:val="en-US" w:eastAsia="ko-KR"/>
        </w:rPr>
      </w:r>
      <w:r w:rsidR="00C17044">
        <w:rPr>
          <w:kern w:val="2"/>
          <w:lang w:val="en-US" w:eastAsia="ko-KR"/>
        </w:rPr>
        <w:fldChar w:fldCharType="separate"/>
      </w:r>
      <w:r w:rsidR="00C17044" w:rsidRPr="00EA0986">
        <w:t xml:space="preserve">Table </w:t>
      </w:r>
      <w:r w:rsidR="00C17044" w:rsidRPr="00EA0986">
        <w:rPr>
          <w:noProof/>
        </w:rPr>
        <w:lastRenderedPageBreak/>
        <w:t>3</w:t>
      </w:r>
      <w:r w:rsidR="00C17044" w:rsidRPr="00EA0986">
        <w:noBreakHyphen/>
      </w:r>
      <w:r w:rsidR="00C17044" w:rsidRPr="00EA0986">
        <w:rPr>
          <w:noProof/>
        </w:rPr>
        <w:t>1</w:t>
      </w:r>
      <w:r w:rsidR="00C17044">
        <w:rPr>
          <w:kern w:val="2"/>
          <w:lang w:val="en-US" w:eastAsia="ko-KR"/>
        </w:rPr>
        <w:fldChar w:fldCharType="end"/>
      </w:r>
      <w:r w:rsidR="00C17044">
        <w:rPr>
          <w:kern w:val="2"/>
          <w:lang w:val="en-US" w:eastAsia="ko-KR"/>
        </w:rPr>
        <w:t>)</w:t>
      </w:r>
      <w:r w:rsidR="006106E3">
        <w:rPr>
          <w:kern w:val="2"/>
          <w:lang w:val="en-US" w:eastAsia="ko-KR"/>
        </w:rPr>
        <w:t xml:space="preserve">. Considering the </w:t>
      </w:r>
      <w:r w:rsidR="005176E5">
        <w:rPr>
          <w:kern w:val="2"/>
          <w:lang w:val="en-US" w:eastAsia="ko-KR"/>
        </w:rPr>
        <w:t xml:space="preserve">maximum </w:t>
      </w:r>
      <w:r w:rsidR="006106E3">
        <w:rPr>
          <w:kern w:val="2"/>
          <w:lang w:val="en-US" w:eastAsia="ko-KR"/>
        </w:rPr>
        <w:t xml:space="preserve">CP </w:t>
      </w:r>
      <w:r w:rsidR="005176E5">
        <w:rPr>
          <w:kern w:val="2"/>
          <w:lang w:val="en-US" w:eastAsia="ko-KR"/>
        </w:rPr>
        <w:t xml:space="preserve">length </w:t>
      </w:r>
      <w:r w:rsidR="006106E3">
        <w:rPr>
          <w:kern w:val="2"/>
          <w:lang w:val="en-US" w:eastAsia="ko-KR"/>
        </w:rPr>
        <w:t xml:space="preserve">of </w:t>
      </w:r>
      <w:r w:rsidR="005176E5">
        <w:rPr>
          <w:kern w:val="2"/>
          <w:lang w:val="en-US" w:eastAsia="ko-KR"/>
        </w:rPr>
        <w:t xml:space="preserve">266.7 us for the legacy </w:t>
      </w:r>
      <w:r w:rsidR="006106E3">
        <w:rPr>
          <w:kern w:val="2"/>
          <w:lang w:val="en-US" w:eastAsia="ko-KR"/>
        </w:rPr>
        <w:t>preamble</w:t>
      </w:r>
      <w:r w:rsidR="005176E5">
        <w:rPr>
          <w:kern w:val="2"/>
          <w:lang w:val="en-US" w:eastAsia="ko-KR"/>
        </w:rPr>
        <w:t xml:space="preserve">, </w:t>
      </w:r>
      <w:r w:rsidR="006106E3">
        <w:rPr>
          <w:kern w:val="2"/>
          <w:lang w:val="en-US" w:eastAsia="ko-KR"/>
        </w:rPr>
        <w:t>the time gap</w:t>
      </w:r>
      <w:r w:rsidR="004B08F2">
        <w:rPr>
          <w:kern w:val="2"/>
          <w:lang w:val="en-US" w:eastAsia="ko-KR"/>
        </w:rPr>
        <w:t>s</w:t>
      </w:r>
      <w:r w:rsidR="006106E3">
        <w:rPr>
          <w:kern w:val="2"/>
          <w:lang w:val="en-US" w:eastAsia="ko-KR"/>
        </w:rPr>
        <w:t xml:space="preserve"> could </w:t>
      </w:r>
      <w:r w:rsidR="005176E5">
        <w:rPr>
          <w:kern w:val="2"/>
          <w:lang w:val="en-US" w:eastAsia="ko-KR"/>
        </w:rPr>
        <w:t xml:space="preserve">have </w:t>
      </w:r>
      <w:r w:rsidR="006106E3">
        <w:rPr>
          <w:kern w:val="2"/>
          <w:lang w:val="en-US" w:eastAsia="ko-KR"/>
        </w:rPr>
        <w:t xml:space="preserve">effectively </w:t>
      </w:r>
      <w:r w:rsidR="004B08F2">
        <w:rPr>
          <w:kern w:val="2"/>
          <w:lang w:val="en-US" w:eastAsia="ko-KR"/>
        </w:rPr>
        <w:t xml:space="preserve">taken the place of </w:t>
      </w:r>
      <w:r w:rsidR="006106E3">
        <w:rPr>
          <w:kern w:val="2"/>
          <w:lang w:val="en-US" w:eastAsia="ko-KR"/>
        </w:rPr>
        <w:t>guard time</w:t>
      </w:r>
      <w:r w:rsidR="004B08F2">
        <w:rPr>
          <w:kern w:val="2"/>
          <w:lang w:val="en-US" w:eastAsia="ko-KR"/>
        </w:rPr>
        <w:t>s</w:t>
      </w:r>
      <w:r w:rsidR="00CE4E7F">
        <w:rPr>
          <w:kern w:val="2"/>
          <w:lang w:val="en-US" w:eastAsia="ko-KR"/>
        </w:rPr>
        <w:t xml:space="preserve"> without significant performance loss</w:t>
      </w:r>
      <w:r w:rsidR="006106E3">
        <w:rPr>
          <w:kern w:val="2"/>
          <w:lang w:val="en-US" w:eastAsia="ko-KR"/>
        </w:rPr>
        <w:t>.</w:t>
      </w:r>
      <w:r w:rsidR="00AB3ADE">
        <w:rPr>
          <w:kern w:val="2"/>
          <w:lang w:val="en-US" w:eastAsia="ko-KR"/>
        </w:rPr>
        <w:t xml:space="preserve"> </w:t>
      </w:r>
    </w:p>
    <w:p w14:paraId="078C94E4" w14:textId="56586416" w:rsidR="00C17044" w:rsidRPr="000F2E12" w:rsidRDefault="00C17044" w:rsidP="000F2E12">
      <w:pPr>
        <w:pStyle w:val="a3"/>
        <w:keepNext/>
        <w:rPr>
          <w:b w:val="0"/>
        </w:rPr>
      </w:pPr>
      <w:bookmarkStart w:id="8" w:name="_Ref490300984"/>
      <w:r w:rsidRPr="000F2E12">
        <w:rPr>
          <w:b w:val="0"/>
        </w:rPr>
        <w:t xml:space="preserve">Table </w:t>
      </w:r>
      <w:r w:rsidRPr="000F2E12">
        <w:rPr>
          <w:b w:val="0"/>
        </w:rPr>
        <w:fldChar w:fldCharType="begin"/>
      </w:r>
      <w:r w:rsidRPr="000F2E12">
        <w:rPr>
          <w:b w:val="0"/>
        </w:rPr>
        <w:instrText xml:space="preserve"> STYLEREF 1 \s </w:instrText>
      </w:r>
      <w:r w:rsidRPr="000F2E12">
        <w:rPr>
          <w:b w:val="0"/>
        </w:rPr>
        <w:fldChar w:fldCharType="separate"/>
      </w:r>
      <w:r w:rsidRPr="000F2E12">
        <w:rPr>
          <w:b w:val="0"/>
          <w:noProof/>
        </w:rPr>
        <w:t>3</w:t>
      </w:r>
      <w:r w:rsidRPr="000F2E12">
        <w:rPr>
          <w:b w:val="0"/>
        </w:rPr>
        <w:fldChar w:fldCharType="end"/>
      </w:r>
      <w:r w:rsidRPr="000F2E12">
        <w:rPr>
          <w:b w:val="0"/>
        </w:rPr>
        <w:noBreakHyphen/>
      </w:r>
      <w:r w:rsidRPr="000F2E12">
        <w:rPr>
          <w:b w:val="0"/>
        </w:rPr>
        <w:fldChar w:fldCharType="begin"/>
      </w:r>
      <w:r w:rsidRPr="000F2E12">
        <w:rPr>
          <w:b w:val="0"/>
        </w:rPr>
        <w:instrText xml:space="preserve"> SEQ Table \* ARABIC \s 1 </w:instrText>
      </w:r>
      <w:r w:rsidRPr="000F2E12">
        <w:rPr>
          <w:b w:val="0"/>
        </w:rPr>
        <w:fldChar w:fldCharType="separate"/>
      </w:r>
      <w:r w:rsidRPr="000F2E12">
        <w:rPr>
          <w:b w:val="0"/>
          <w:noProof/>
        </w:rPr>
        <w:t>1</w:t>
      </w:r>
      <w:r w:rsidRPr="000F2E12">
        <w:rPr>
          <w:b w:val="0"/>
        </w:rPr>
        <w:fldChar w:fldCharType="end"/>
      </w:r>
      <w:bookmarkEnd w:id="8"/>
      <w:r w:rsidRPr="000F2E12">
        <w:rPr>
          <w:b w:val="0"/>
        </w:rPr>
        <w:t xml:space="preserve"> </w:t>
      </w:r>
      <w:r>
        <w:rPr>
          <w:b w:val="0"/>
        </w:rPr>
        <w:t>T</w:t>
      </w:r>
      <w:r w:rsidRPr="00C17044">
        <w:rPr>
          <w:b w:val="0"/>
        </w:rPr>
        <w:t xml:space="preserve">ime gap </w:t>
      </w:r>
      <w:r>
        <w:rPr>
          <w:b w:val="0"/>
        </w:rPr>
        <w:t>as a function of repetition number for NB-IoT</w:t>
      </w:r>
    </w:p>
    <w:tbl>
      <w:tblPr>
        <w:tblW w:w="7634" w:type="dxa"/>
        <w:jc w:val="center"/>
        <w:tblCellMar>
          <w:left w:w="0" w:type="dxa"/>
          <w:right w:w="0" w:type="dxa"/>
        </w:tblCellMar>
        <w:tblLook w:val="04A0" w:firstRow="1" w:lastRow="0" w:firstColumn="1" w:lastColumn="0" w:noHBand="0" w:noVBand="1"/>
      </w:tblPr>
      <w:tblGrid>
        <w:gridCol w:w="1706"/>
        <w:gridCol w:w="741"/>
        <w:gridCol w:w="741"/>
        <w:gridCol w:w="741"/>
        <w:gridCol w:w="741"/>
        <w:gridCol w:w="741"/>
        <w:gridCol w:w="741"/>
        <w:gridCol w:w="741"/>
        <w:gridCol w:w="741"/>
      </w:tblGrid>
      <w:tr w:rsidR="00C17044" w:rsidRPr="00882ECC" w14:paraId="56D38767"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AC8D5"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Number of repetition</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8752F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BC4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EE01D"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876B9"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F8E44"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1B899"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32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37CA7"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64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1FFEB"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128</w:t>
            </w:r>
          </w:p>
        </w:tc>
      </w:tr>
      <w:tr w:rsidR="00C17044" w:rsidRPr="00882ECC" w14:paraId="75A58D4F"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E5AA1"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Preamble length (ms)</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78EA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6.4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89766"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12.8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5121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25.6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528F2"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51.2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0A527"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102.4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CAFD2"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204.8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1DF4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409.6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FBEB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819.2</w:t>
            </w:r>
          </w:p>
        </w:tc>
      </w:tr>
      <w:tr w:rsidR="00C17044" w:rsidRPr="00882ECC" w14:paraId="01CB0423"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B0D80"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Time gap (ms)</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1E6CD"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037B0"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54677"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CE972"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48652"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1AB56"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7013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0.4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C7A32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0.8</w:t>
            </w:r>
          </w:p>
        </w:tc>
      </w:tr>
    </w:tbl>
    <w:p w14:paraId="027EC364" w14:textId="77777777" w:rsidR="00C17044" w:rsidRDefault="00C17044" w:rsidP="00C17044">
      <w:pPr>
        <w:pStyle w:val="ab"/>
        <w:widowControl w:val="0"/>
        <w:numPr>
          <w:ilvl w:val="0"/>
          <w:numId w:val="13"/>
        </w:numPr>
        <w:overflowPunct/>
        <w:adjustRightInd/>
        <w:spacing w:after="0" w:line="259" w:lineRule="auto"/>
        <w:ind w:leftChars="0"/>
        <w:contextualSpacing/>
        <w:textAlignment w:val="auto"/>
      </w:pPr>
      <w:r w:rsidRPr="009C131A">
        <w:t>Minimum time gap is 200us for number of repetitions = 2 and 32</w:t>
      </w:r>
    </w:p>
    <w:p w14:paraId="541A7917" w14:textId="77777777" w:rsidR="00C17044" w:rsidRPr="009C131A" w:rsidRDefault="00C17044" w:rsidP="00C17044">
      <w:pPr>
        <w:pStyle w:val="ab"/>
        <w:widowControl w:val="0"/>
        <w:numPr>
          <w:ilvl w:val="0"/>
          <w:numId w:val="13"/>
        </w:numPr>
        <w:overflowPunct/>
        <w:adjustRightInd/>
        <w:spacing w:after="0" w:line="259" w:lineRule="auto"/>
        <w:ind w:leftChars="0"/>
        <w:contextualSpacing/>
        <w:textAlignment w:val="auto"/>
      </w:pPr>
      <w:r w:rsidRPr="009C131A">
        <w:t>May not have been a serious problem considering that the required GT is 266.7us to cover 40 km cell radius</w:t>
      </w:r>
    </w:p>
    <w:p w14:paraId="34E490D8" w14:textId="77777777" w:rsidR="00C17044" w:rsidRPr="000F2E12" w:rsidRDefault="00C17044">
      <w:pPr>
        <w:spacing w:afterLines="50" w:line="276" w:lineRule="auto"/>
        <w:ind w:firstLineChars="193" w:firstLine="425"/>
        <w:rPr>
          <w:kern w:val="2"/>
          <w:lang w:eastAsia="ko-KR"/>
        </w:rPr>
      </w:pPr>
    </w:p>
    <w:p w14:paraId="7EE40814" w14:textId="70CBD649" w:rsidR="001D671D" w:rsidRDefault="00AB3ADE">
      <w:pPr>
        <w:spacing w:afterLines="50" w:line="276" w:lineRule="auto"/>
        <w:ind w:firstLineChars="193" w:firstLine="425"/>
        <w:rPr>
          <w:kern w:val="2"/>
          <w:lang w:val="en-US" w:eastAsia="ko-KR"/>
        </w:rPr>
      </w:pPr>
      <w:r>
        <w:rPr>
          <w:kern w:val="2"/>
          <w:lang w:val="en-US" w:eastAsia="ko-KR"/>
        </w:rPr>
        <w:t>For enhanced preamble, however, the time gaps</w:t>
      </w:r>
      <w:r w:rsidR="001A7595">
        <w:rPr>
          <w:kern w:val="2"/>
          <w:lang w:val="en-US" w:eastAsia="ko-KR"/>
        </w:rPr>
        <w:t xml:space="preserve"> </w:t>
      </w:r>
      <w:r w:rsidR="00CE4E7F">
        <w:rPr>
          <w:kern w:val="2"/>
          <w:lang w:val="en-US" w:eastAsia="ko-KR"/>
        </w:rPr>
        <w:t xml:space="preserve">never seem </w:t>
      </w:r>
      <w:r w:rsidR="00CD01DB">
        <w:rPr>
          <w:kern w:val="2"/>
          <w:lang w:val="en-US" w:eastAsia="ko-KR"/>
        </w:rPr>
        <w:t xml:space="preserve">to be </w:t>
      </w:r>
      <w:r w:rsidR="00CE4E7F">
        <w:rPr>
          <w:kern w:val="2"/>
          <w:lang w:val="en-US" w:eastAsia="ko-KR"/>
        </w:rPr>
        <w:t xml:space="preserve">enough </w:t>
      </w:r>
      <w:r w:rsidR="00CD01DB">
        <w:rPr>
          <w:kern w:val="2"/>
          <w:lang w:val="en-US" w:eastAsia="ko-KR"/>
        </w:rPr>
        <w:t xml:space="preserve">for </w:t>
      </w:r>
      <w:r w:rsidR="001A7595">
        <w:rPr>
          <w:kern w:val="2"/>
          <w:lang w:val="en-US" w:eastAsia="ko-KR"/>
        </w:rPr>
        <w:t>guard time</w:t>
      </w:r>
      <w:r w:rsidR="00CE4E7F">
        <w:rPr>
          <w:kern w:val="2"/>
          <w:lang w:val="en-US" w:eastAsia="ko-KR"/>
        </w:rPr>
        <w:t>s</w:t>
      </w:r>
      <w:r w:rsidR="001A7595">
        <w:rPr>
          <w:kern w:val="2"/>
          <w:lang w:val="en-US" w:eastAsia="ko-KR"/>
        </w:rPr>
        <w:t xml:space="preserve"> anymore</w:t>
      </w:r>
      <w:r>
        <w:rPr>
          <w:kern w:val="2"/>
          <w:lang w:val="en-US" w:eastAsia="ko-KR"/>
        </w:rPr>
        <w:t xml:space="preserve"> </w:t>
      </w:r>
      <w:r w:rsidR="001A7595">
        <w:rPr>
          <w:kern w:val="2"/>
          <w:lang w:val="en-US" w:eastAsia="ko-KR"/>
        </w:rPr>
        <w:t xml:space="preserve">because 200 and 400 us </w:t>
      </w:r>
      <w:r w:rsidR="004B4D8E">
        <w:rPr>
          <w:kern w:val="2"/>
          <w:lang w:val="en-US" w:eastAsia="ko-KR"/>
        </w:rPr>
        <w:t xml:space="preserve">time gaps </w:t>
      </w:r>
      <w:r w:rsidR="001A7595">
        <w:rPr>
          <w:kern w:val="2"/>
          <w:lang w:val="en-US" w:eastAsia="ko-KR"/>
        </w:rPr>
        <w:t xml:space="preserve">are too short </w:t>
      </w:r>
      <w:r>
        <w:rPr>
          <w:kern w:val="2"/>
          <w:lang w:val="en-US" w:eastAsia="ko-KR"/>
        </w:rPr>
        <w:t xml:space="preserve">compared to the required guard time of 666.7 us. </w:t>
      </w:r>
      <w:r w:rsidR="004B4D8E">
        <w:rPr>
          <w:kern w:val="2"/>
          <w:lang w:val="en-US" w:eastAsia="ko-KR"/>
        </w:rPr>
        <w:t xml:space="preserve">Therefore we need to consider </w:t>
      </w:r>
      <w:r w:rsidR="00473C42">
        <w:rPr>
          <w:kern w:val="2"/>
          <w:lang w:val="en-US" w:eastAsia="ko-KR"/>
        </w:rPr>
        <w:t xml:space="preserve">introducing </w:t>
      </w:r>
      <w:r w:rsidR="004B4D8E">
        <w:rPr>
          <w:kern w:val="2"/>
          <w:lang w:val="en-US" w:eastAsia="ko-KR"/>
        </w:rPr>
        <w:t>guard time for NPRACH range enhancement.</w:t>
      </w:r>
      <w:r w:rsidR="006D1388">
        <w:rPr>
          <w:kern w:val="2"/>
          <w:lang w:val="en-US" w:eastAsia="ko-KR"/>
        </w:rPr>
        <w:t xml:space="preserve"> And th</w:t>
      </w:r>
      <w:r w:rsidR="006D1388" w:rsidRPr="006D1388">
        <w:rPr>
          <w:kern w:val="2"/>
          <w:lang w:val="en-US" w:eastAsia="ko-KR"/>
        </w:rPr>
        <w:t xml:space="preserve">e necessity of </w:t>
      </w:r>
      <w:r w:rsidR="006D1388">
        <w:rPr>
          <w:kern w:val="2"/>
          <w:lang w:val="en-US" w:eastAsia="ko-KR"/>
        </w:rPr>
        <w:t>guard time</w:t>
      </w:r>
      <w:r w:rsidR="006D1388" w:rsidRPr="006D1388">
        <w:rPr>
          <w:kern w:val="2"/>
          <w:lang w:val="en-US" w:eastAsia="ko-KR"/>
        </w:rPr>
        <w:t xml:space="preserve"> for NPRACH range enhancement will not be affected by upcoming decisions on the NPRACH preamble design details</w:t>
      </w:r>
      <w:r w:rsidR="006D1388">
        <w:rPr>
          <w:kern w:val="2"/>
          <w:lang w:val="en-US" w:eastAsia="ko-KR"/>
        </w:rPr>
        <w:t>.</w:t>
      </w:r>
    </w:p>
    <w:p w14:paraId="534D2D5D" w14:textId="77777777" w:rsidR="00312374" w:rsidRDefault="00312374" w:rsidP="0078419B">
      <w:pPr>
        <w:spacing w:afterLines="50" w:line="276" w:lineRule="auto"/>
        <w:rPr>
          <w:kern w:val="2"/>
          <w:lang w:val="en-US" w:eastAsia="ko-KR"/>
        </w:rPr>
      </w:pPr>
    </w:p>
    <w:p w14:paraId="10FF2186" w14:textId="0104BE65" w:rsidR="004B4D8E" w:rsidRPr="001C2FEC" w:rsidRDefault="004B4D8E" w:rsidP="0078419B">
      <w:pPr>
        <w:spacing w:afterLines="50" w:line="276" w:lineRule="auto"/>
        <w:rPr>
          <w:kern w:val="2"/>
          <w:lang w:val="en-US" w:eastAsia="ko-KR"/>
        </w:rPr>
      </w:pPr>
      <w:r w:rsidRPr="001C2FEC">
        <w:rPr>
          <w:rFonts w:hint="eastAsia"/>
          <w:b/>
          <w:i/>
          <w:kern w:val="2"/>
          <w:u w:val="single"/>
          <w:lang w:eastAsia="ko-KR"/>
        </w:rPr>
        <w:t xml:space="preserve">Proposal </w:t>
      </w:r>
      <w:r w:rsidR="000A6E9C">
        <w:rPr>
          <w:b/>
          <w:i/>
          <w:kern w:val="2"/>
          <w:u w:val="single"/>
          <w:lang w:eastAsia="ko-KR"/>
        </w:rPr>
        <w:t>6</w:t>
      </w:r>
      <w:r w:rsidRPr="000F2E12">
        <w:rPr>
          <w:rFonts w:hint="eastAsia"/>
          <w:b/>
          <w:i/>
          <w:kern w:val="2"/>
          <w:u w:val="single"/>
          <w:lang w:eastAsia="ko-KR"/>
        </w:rPr>
        <w:t>:</w:t>
      </w:r>
      <w:r w:rsidRPr="000F2E12">
        <w:rPr>
          <w:b/>
          <w:i/>
          <w:kern w:val="2"/>
          <w:u w:val="single"/>
          <w:lang w:eastAsia="ko-KR"/>
        </w:rPr>
        <w:t xml:space="preserve"> We need to </w:t>
      </w:r>
      <w:r w:rsidR="00473C42" w:rsidRPr="000F2E12">
        <w:rPr>
          <w:b/>
          <w:i/>
          <w:kern w:val="2"/>
          <w:u w:val="single"/>
          <w:lang w:eastAsia="ko-KR"/>
        </w:rPr>
        <w:t>introduc</w:t>
      </w:r>
      <w:r w:rsidR="00375199" w:rsidRPr="000F2E12">
        <w:rPr>
          <w:b/>
          <w:i/>
          <w:kern w:val="2"/>
          <w:u w:val="single"/>
          <w:lang w:eastAsia="ko-KR"/>
        </w:rPr>
        <w:t>e</w:t>
      </w:r>
      <w:r w:rsidR="00473C42" w:rsidRPr="000F2E12">
        <w:rPr>
          <w:b/>
          <w:i/>
          <w:kern w:val="2"/>
          <w:u w:val="single"/>
          <w:lang w:eastAsia="ko-KR"/>
        </w:rPr>
        <w:t xml:space="preserve"> </w:t>
      </w:r>
      <w:r w:rsidRPr="000F2E12">
        <w:rPr>
          <w:b/>
          <w:i/>
          <w:kern w:val="2"/>
          <w:u w:val="single"/>
          <w:lang w:eastAsia="ko-KR"/>
        </w:rPr>
        <w:t>guard time for NPRACH enhancement.</w:t>
      </w:r>
    </w:p>
    <w:p w14:paraId="02FED58E" w14:textId="38D9A02E" w:rsidR="000A6E9C" w:rsidRPr="00A7366A" w:rsidRDefault="000A6E9C" w:rsidP="000A6E9C">
      <w:pPr>
        <w:pStyle w:val="ab"/>
        <w:numPr>
          <w:ilvl w:val="0"/>
          <w:numId w:val="11"/>
        </w:numPr>
        <w:spacing w:afterLines="50" w:line="276" w:lineRule="auto"/>
        <w:ind w:leftChars="0"/>
        <w:rPr>
          <w:b/>
          <w:i/>
          <w:kern w:val="2"/>
          <w:u w:val="single"/>
          <w:lang w:eastAsia="ko-KR"/>
        </w:rPr>
      </w:pPr>
      <w:r w:rsidRPr="001C2FEC">
        <w:rPr>
          <w:b/>
          <w:i/>
          <w:kern w:val="2"/>
          <w:u w:val="single"/>
          <w:lang w:eastAsia="ko-KR"/>
        </w:rPr>
        <w:t xml:space="preserve">FFS </w:t>
      </w:r>
      <w:r w:rsidR="001C2FEC">
        <w:rPr>
          <w:b/>
          <w:i/>
          <w:kern w:val="2"/>
          <w:u w:val="single"/>
          <w:lang w:eastAsia="ko-KR"/>
        </w:rPr>
        <w:t>details on how to deal with the guard time, e.g., signalling, puncturing, restrictions, etc.</w:t>
      </w:r>
    </w:p>
    <w:p w14:paraId="0E71EC74" w14:textId="77777777" w:rsidR="004B4D8E" w:rsidRPr="000F2E12" w:rsidRDefault="004B4D8E" w:rsidP="0078419B">
      <w:pPr>
        <w:spacing w:afterLines="50" w:line="276" w:lineRule="auto"/>
        <w:rPr>
          <w:kern w:val="2"/>
          <w:lang w:eastAsia="ko-KR"/>
        </w:rPr>
      </w:pP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041244C3"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we </w:t>
      </w:r>
      <w:r w:rsidR="00214ED3" w:rsidRPr="003D0FC1">
        <w:rPr>
          <w:kern w:val="2"/>
          <w:lang w:val="en-US" w:eastAsia="ko-KR"/>
        </w:rPr>
        <w:t>discussed</w:t>
      </w:r>
      <w:r w:rsidR="00214ED3" w:rsidRPr="00181913">
        <w:rPr>
          <w:kern w:val="2"/>
          <w:lang w:val="en-US" w:eastAsia="ko-KR"/>
        </w:rPr>
        <w:t xml:space="preserve"> </w:t>
      </w:r>
      <w:r w:rsidR="00D413B3">
        <w:rPr>
          <w:kern w:val="2"/>
          <w:lang w:val="en-US" w:eastAsia="ko-KR"/>
        </w:rPr>
        <w:t xml:space="preserve">resource configuration for NPRACH enhancement </w:t>
      </w:r>
      <w:r w:rsidR="00E61E53">
        <w:rPr>
          <w:kern w:val="2"/>
          <w:lang w:val="en-US" w:eastAsia="ko-KR"/>
        </w:rPr>
        <w:t>and further considerations</w:t>
      </w:r>
      <w:r w:rsidRPr="00181913">
        <w:rPr>
          <w:kern w:val="2"/>
          <w:lang w:val="en-US" w:eastAsia="ko-KR"/>
        </w:rPr>
        <w:t xml:space="preserve"> for </w:t>
      </w:r>
      <w:r w:rsidR="002F3FEB" w:rsidRPr="00181913">
        <w:rPr>
          <w:kern w:val="2"/>
          <w:lang w:val="en-US" w:eastAsia="ko-KR"/>
        </w:rPr>
        <w:t>F</w:t>
      </w:r>
      <w:r w:rsidRPr="00181913">
        <w:rPr>
          <w:kern w:val="2"/>
          <w:lang w:val="en-US" w:eastAsia="ko-KR"/>
        </w:rPr>
        <w:t xml:space="preserve">eNB-IoT. We </w:t>
      </w:r>
      <w:r w:rsidR="00214ED3" w:rsidRPr="003D0FC1">
        <w:rPr>
          <w:kern w:val="2"/>
          <w:lang w:val="en-US" w:eastAsia="ko-KR"/>
        </w:rPr>
        <w:t>propose the followings:</w:t>
      </w:r>
    </w:p>
    <w:p w14:paraId="2017C83C" w14:textId="77777777" w:rsidR="00CF1B73" w:rsidRPr="003D0FC1" w:rsidRDefault="00CF1B73" w:rsidP="000F2E12">
      <w:pPr>
        <w:spacing w:afterLines="50" w:line="276" w:lineRule="auto"/>
        <w:rPr>
          <w:color w:val="808080" w:themeColor="background1" w:themeShade="80"/>
          <w:kern w:val="2"/>
          <w:lang w:val="en-US" w:eastAsia="ko-KR"/>
        </w:rPr>
      </w:pPr>
    </w:p>
    <w:p w14:paraId="05080A8B"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1</w:t>
      </w:r>
      <w:r w:rsidRPr="00EA0986">
        <w:rPr>
          <w:b/>
          <w:i/>
          <w:kern w:val="2"/>
          <w:u w:val="single"/>
          <w:lang w:eastAsia="ko-KR"/>
        </w:rPr>
        <w:t xml:space="preserve">: </w:t>
      </w:r>
      <w:r w:rsidRPr="008F1E46">
        <w:rPr>
          <w:b/>
          <w:i/>
          <w:kern w:val="2"/>
          <w:u w:val="single"/>
          <w:lang w:eastAsia="ko-KR"/>
        </w:rPr>
        <w:t>Share the same NPRACH resource configuration mechanism so that legacy NB-IoT UEs can avoid the configured NPRACH resources for</w:t>
      </w:r>
      <w:r>
        <w:rPr>
          <w:b/>
          <w:i/>
          <w:kern w:val="2"/>
          <w:u w:val="single"/>
          <w:lang w:eastAsia="ko-KR"/>
        </w:rPr>
        <w:t xml:space="preserve"> the</w:t>
      </w:r>
      <w:r w:rsidRPr="008F1E46">
        <w:rPr>
          <w:b/>
          <w:i/>
          <w:kern w:val="2"/>
          <w:u w:val="single"/>
          <w:lang w:eastAsia="ko-KR"/>
        </w:rPr>
        <w:t xml:space="preserve"> </w:t>
      </w:r>
      <w:r>
        <w:rPr>
          <w:b/>
          <w:i/>
          <w:kern w:val="2"/>
          <w:u w:val="single"/>
          <w:lang w:eastAsia="ko-KR"/>
        </w:rPr>
        <w:t>enhanced preamble.</w:t>
      </w:r>
    </w:p>
    <w:p w14:paraId="20892E2C" w14:textId="77777777" w:rsidR="0041710A" w:rsidRDefault="0041710A" w:rsidP="0041710A">
      <w:pPr>
        <w:spacing w:afterLines="50" w:line="276" w:lineRule="auto"/>
        <w:rPr>
          <w:kern w:val="2"/>
          <w:lang w:val="en-US" w:eastAsia="ko-KR"/>
        </w:rPr>
      </w:pPr>
    </w:p>
    <w:p w14:paraId="49BCFFE3" w14:textId="77777777" w:rsidR="0041710A"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xml:space="preserve">: </w:t>
      </w:r>
      <w:r w:rsidRPr="008F1E46">
        <w:rPr>
          <w:b/>
          <w:i/>
          <w:kern w:val="2"/>
          <w:u w:val="single"/>
          <w:lang w:eastAsia="ko-KR"/>
        </w:rPr>
        <w:t>Align at least the preamble boundaries between the legacy preamble and the enhanced preamble</w:t>
      </w:r>
      <w:r w:rsidRPr="00EA0986">
        <w:rPr>
          <w:b/>
          <w:i/>
          <w:kern w:val="2"/>
          <w:u w:val="single"/>
          <w:lang w:eastAsia="ko-KR"/>
        </w:rPr>
        <w:t>:</w:t>
      </w:r>
    </w:p>
    <w:p w14:paraId="72B18041" w14:textId="77777777" w:rsidR="0041710A" w:rsidRPr="00EA0986" w:rsidRDefault="0041710A" w:rsidP="0041710A">
      <w:pPr>
        <w:pStyle w:val="ab"/>
        <w:numPr>
          <w:ilvl w:val="0"/>
          <w:numId w:val="11"/>
        </w:numPr>
        <w:spacing w:afterLines="50" w:line="276" w:lineRule="auto"/>
        <w:ind w:leftChars="0"/>
        <w:rPr>
          <w:b/>
          <w:i/>
          <w:kern w:val="2"/>
          <w:u w:val="single"/>
          <w:lang w:eastAsia="ko-KR"/>
        </w:rPr>
      </w:pPr>
      <w:r w:rsidRPr="00EA0986">
        <w:rPr>
          <w:b/>
          <w:i/>
          <w:kern w:val="2"/>
          <w:u w:val="single"/>
          <w:lang w:eastAsia="ko-KR"/>
        </w:rPr>
        <w:t>FFS possibility of symbol group alignment</w:t>
      </w:r>
    </w:p>
    <w:p w14:paraId="1E9220D2" w14:textId="77777777" w:rsidR="0041710A" w:rsidRDefault="0041710A" w:rsidP="0041710A">
      <w:pPr>
        <w:spacing w:afterLines="50" w:line="276" w:lineRule="auto"/>
        <w:rPr>
          <w:kern w:val="2"/>
          <w:lang w:eastAsia="ko-KR"/>
        </w:rPr>
      </w:pPr>
    </w:p>
    <w:p w14:paraId="6701DEA5"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3</w:t>
      </w:r>
      <w:r w:rsidRPr="00EA0986">
        <w:rPr>
          <w:b/>
          <w:i/>
          <w:kern w:val="2"/>
          <w:u w:val="single"/>
          <w:lang w:eastAsia="ko-KR"/>
        </w:rPr>
        <w:t xml:space="preserve">: </w:t>
      </w:r>
      <w:r w:rsidRPr="00CD023A">
        <w:rPr>
          <w:rFonts w:hint="eastAsia"/>
          <w:b/>
          <w:i/>
          <w:kern w:val="2"/>
          <w:u w:val="single"/>
          <w:lang w:eastAsia="ko-KR"/>
        </w:rPr>
        <w:t xml:space="preserve">Provide the same or similar amount of useful symbol </w:t>
      </w:r>
      <w:r>
        <w:rPr>
          <w:b/>
          <w:i/>
          <w:kern w:val="2"/>
          <w:u w:val="single"/>
          <w:lang w:eastAsia="ko-KR"/>
        </w:rPr>
        <w:t xml:space="preserve">duration </w:t>
      </w:r>
      <w:r w:rsidRPr="00CD023A">
        <w:rPr>
          <w:rFonts w:hint="eastAsia"/>
          <w:b/>
          <w:i/>
          <w:kern w:val="2"/>
          <w:u w:val="single"/>
          <w:lang w:eastAsia="ko-KR"/>
        </w:rPr>
        <w:t>as legacy NB-IoT preamble for the same or similar detection and timing estimation performance</w:t>
      </w:r>
      <w:r>
        <w:rPr>
          <w:b/>
          <w:i/>
          <w:kern w:val="2"/>
          <w:u w:val="single"/>
          <w:lang w:eastAsia="ko-KR"/>
        </w:rPr>
        <w:t>.</w:t>
      </w:r>
    </w:p>
    <w:p w14:paraId="219BA301" w14:textId="77777777" w:rsidR="0041710A" w:rsidRDefault="0041710A" w:rsidP="000F2E12">
      <w:pPr>
        <w:spacing w:afterLines="50" w:line="276" w:lineRule="auto"/>
        <w:rPr>
          <w:b/>
          <w:i/>
          <w:kern w:val="2"/>
          <w:u w:val="single"/>
          <w:lang w:eastAsia="ko-KR"/>
        </w:rPr>
      </w:pPr>
    </w:p>
    <w:p w14:paraId="6AC92DD5"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4</w:t>
      </w:r>
      <w:r w:rsidRPr="00EA0986">
        <w:rPr>
          <w:b/>
          <w:i/>
          <w:kern w:val="2"/>
          <w:u w:val="single"/>
          <w:lang w:eastAsia="ko-KR"/>
        </w:rPr>
        <w:t xml:space="preserve">: </w:t>
      </w:r>
      <w:r>
        <w:rPr>
          <w:b/>
          <w:i/>
          <w:kern w:val="2"/>
          <w:u w:val="single"/>
          <w:lang w:eastAsia="ko-KR"/>
        </w:rPr>
        <w:t>Consider the basic allocation (alternative 1) and the boundary allocation (alternative 2) as the resource allocation and frequency hopping scheme for NPRACH enhancement.</w:t>
      </w:r>
    </w:p>
    <w:p w14:paraId="42F047BA" w14:textId="77777777" w:rsidR="0041710A" w:rsidRDefault="0041710A" w:rsidP="0041710A">
      <w:pPr>
        <w:rPr>
          <w:rFonts w:eastAsia="SimSun"/>
        </w:rPr>
      </w:pPr>
    </w:p>
    <w:p w14:paraId="16FC9472"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5</w:t>
      </w:r>
      <w:r w:rsidRPr="00EA0986">
        <w:rPr>
          <w:b/>
          <w:i/>
          <w:kern w:val="2"/>
          <w:u w:val="single"/>
          <w:lang w:eastAsia="ko-KR"/>
        </w:rPr>
        <w:t xml:space="preserve">: </w:t>
      </w:r>
      <w:r>
        <w:rPr>
          <w:b/>
          <w:i/>
          <w:kern w:val="2"/>
          <w:u w:val="single"/>
          <w:lang w:eastAsia="ko-KR"/>
        </w:rPr>
        <w:t>Consider the paired inter-preamble frequency hopping to improve the reliability of timing estimation acquisition with the minimum frequency hopping distance.</w:t>
      </w:r>
    </w:p>
    <w:p w14:paraId="1B0FFFBD" w14:textId="77777777" w:rsidR="00AE6907" w:rsidRPr="00CF1B73" w:rsidRDefault="00AE6907" w:rsidP="000F2E12">
      <w:pPr>
        <w:spacing w:afterLines="50" w:line="276" w:lineRule="auto"/>
        <w:rPr>
          <w:kern w:val="2"/>
          <w:lang w:val="en-US" w:eastAsia="ko-KR"/>
        </w:rPr>
      </w:pPr>
    </w:p>
    <w:p w14:paraId="0A3DAB36" w14:textId="77777777" w:rsidR="008505A2" w:rsidRPr="00EA0986" w:rsidRDefault="008505A2" w:rsidP="008505A2">
      <w:pPr>
        <w:spacing w:afterLines="50" w:line="276" w:lineRule="auto"/>
        <w:rPr>
          <w:kern w:val="2"/>
          <w:lang w:val="en-US" w:eastAsia="ko-KR"/>
        </w:rPr>
      </w:pPr>
      <w:r w:rsidRPr="00EA0986">
        <w:rPr>
          <w:rFonts w:hint="eastAsia"/>
          <w:b/>
          <w:i/>
          <w:kern w:val="2"/>
          <w:u w:val="single"/>
          <w:lang w:eastAsia="ko-KR"/>
        </w:rPr>
        <w:t xml:space="preserve">Proposal </w:t>
      </w:r>
      <w:r>
        <w:rPr>
          <w:b/>
          <w:i/>
          <w:kern w:val="2"/>
          <w:u w:val="single"/>
          <w:lang w:eastAsia="ko-KR"/>
        </w:rPr>
        <w:t>6</w:t>
      </w:r>
      <w:r w:rsidRPr="00EA0986">
        <w:rPr>
          <w:rFonts w:hint="eastAsia"/>
          <w:b/>
          <w:i/>
          <w:kern w:val="2"/>
          <w:u w:val="single"/>
          <w:lang w:eastAsia="ko-KR"/>
        </w:rPr>
        <w:t>:</w:t>
      </w:r>
      <w:r w:rsidRPr="00EA0986">
        <w:rPr>
          <w:b/>
          <w:i/>
          <w:kern w:val="2"/>
          <w:u w:val="single"/>
          <w:lang w:eastAsia="ko-KR"/>
        </w:rPr>
        <w:t xml:space="preserve"> We need to introduce guard time for NPRACH enhancement.</w:t>
      </w:r>
    </w:p>
    <w:p w14:paraId="7ADDE4FF" w14:textId="77777777" w:rsidR="008505A2" w:rsidRPr="00A7366A" w:rsidRDefault="008505A2" w:rsidP="008505A2">
      <w:pPr>
        <w:pStyle w:val="ab"/>
        <w:numPr>
          <w:ilvl w:val="0"/>
          <w:numId w:val="11"/>
        </w:numPr>
        <w:spacing w:afterLines="50" w:line="276" w:lineRule="auto"/>
        <w:ind w:leftChars="0"/>
        <w:rPr>
          <w:b/>
          <w:i/>
          <w:kern w:val="2"/>
          <w:u w:val="single"/>
          <w:lang w:eastAsia="ko-KR"/>
        </w:rPr>
      </w:pPr>
      <w:r w:rsidRPr="00EA0986">
        <w:rPr>
          <w:b/>
          <w:i/>
          <w:kern w:val="2"/>
          <w:u w:val="single"/>
          <w:lang w:eastAsia="ko-KR"/>
        </w:rPr>
        <w:t>FFS possibility of symbol group alignment</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0F2E12"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7B77E132" w14:textId="1C8DA36D" w:rsidR="000D2081" w:rsidRPr="00A7366A" w:rsidRDefault="000D2081" w:rsidP="00A7366A">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A7366A">
        <w:rPr>
          <w:kern w:val="2"/>
          <w:lang w:val="en-US" w:eastAsia="ko-KR"/>
        </w:rPr>
        <w:t xml:space="preserve">RAN1#89 Chairman’s Notes </w:t>
      </w:r>
    </w:p>
    <w:p w14:paraId="386DC2DE" w14:textId="0B61CD0A" w:rsidR="00275B2C" w:rsidRPr="000F2E12" w:rsidRDefault="009F5FF7" w:rsidP="001C2FEC">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shd w:val="pct15" w:color="auto" w:fill="FFFFFF"/>
          <w:lang w:eastAsia="ko-KR"/>
        </w:rPr>
      </w:pPr>
      <w:r w:rsidRPr="003D0FC1">
        <w:rPr>
          <w:kern w:val="2"/>
          <w:lang w:val="en-US" w:eastAsia="ko-KR"/>
        </w:rPr>
        <w:t>R1-</w:t>
      </w:r>
      <w:r w:rsidR="000D2081" w:rsidRPr="003D0FC1">
        <w:rPr>
          <w:kern w:val="2"/>
          <w:lang w:val="en-US" w:eastAsia="ko-KR"/>
        </w:rPr>
        <w:t>17</w:t>
      </w:r>
      <w:r w:rsidR="000D2081">
        <w:rPr>
          <w:kern w:val="2"/>
          <w:lang w:val="en-US" w:eastAsia="ko-KR"/>
        </w:rPr>
        <w:t>13105</w:t>
      </w:r>
      <w:r w:rsidRPr="003D0FC1">
        <w:rPr>
          <w:kern w:val="2"/>
          <w:lang w:val="en-US" w:eastAsia="ko-KR"/>
        </w:rPr>
        <w:t>,</w:t>
      </w:r>
      <w:r w:rsidRPr="003D0FC1" w:rsidDel="005B0859">
        <w:rPr>
          <w:kern w:val="2"/>
          <w:lang w:val="en-US" w:eastAsia="ko-KR"/>
        </w:rPr>
        <w:t xml:space="preserve"> </w:t>
      </w:r>
      <w:r w:rsidRPr="003D0FC1">
        <w:rPr>
          <w:kern w:val="2"/>
          <w:lang w:val="en-US" w:eastAsia="ko-KR"/>
        </w:rPr>
        <w:t>“</w:t>
      </w:r>
      <w:r w:rsidR="004C5682">
        <w:rPr>
          <w:kern w:val="2"/>
          <w:lang w:val="en-US" w:eastAsia="ko-KR"/>
        </w:rPr>
        <w:t>Preamble structure for NPRACH enhancement</w:t>
      </w:r>
      <w:r w:rsidRPr="003D0FC1">
        <w:rPr>
          <w:kern w:val="2"/>
          <w:lang w:val="en-US" w:eastAsia="ko-KR"/>
        </w:rPr>
        <w:t>”, LG</w:t>
      </w:r>
      <w:r w:rsidRPr="003D0FC1" w:rsidDel="005B0859">
        <w:rPr>
          <w:kern w:val="2"/>
          <w:lang w:val="en-US" w:eastAsia="ko-KR"/>
        </w:rPr>
        <w:t xml:space="preserve"> </w:t>
      </w:r>
      <w:r w:rsidRPr="003D0FC1">
        <w:rPr>
          <w:kern w:val="2"/>
          <w:lang w:val="en-US" w:eastAsia="ko-KR"/>
        </w:rPr>
        <w:t>Electronics</w:t>
      </w:r>
    </w:p>
    <w:sectPr w:rsidR="00275B2C" w:rsidRPr="000F2E12" w:rsidSect="0086408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198CA" w14:textId="77777777" w:rsidR="00A479C8" w:rsidRDefault="00A479C8">
      <w:pPr>
        <w:spacing w:after="0"/>
      </w:pPr>
      <w:r>
        <w:separator/>
      </w:r>
    </w:p>
  </w:endnote>
  <w:endnote w:type="continuationSeparator" w:id="0">
    <w:p w14:paraId="50AA5AED" w14:textId="77777777" w:rsidR="00A479C8" w:rsidRDefault="00A479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C44D0D" w:rsidRDefault="00C44D0D"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882632">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882632">
      <w:rPr>
        <w:rStyle w:val="a6"/>
      </w:rPr>
      <w:t>9</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E9520" w14:textId="77777777" w:rsidR="00A479C8" w:rsidRDefault="00A479C8">
      <w:pPr>
        <w:spacing w:after="0"/>
      </w:pPr>
      <w:r>
        <w:separator/>
      </w:r>
    </w:p>
  </w:footnote>
  <w:footnote w:type="continuationSeparator" w:id="0">
    <w:p w14:paraId="653E91CC" w14:textId="77777777" w:rsidR="00A479C8" w:rsidRDefault="00A479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C44D0D" w:rsidRDefault="00C44D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ED24A6"/>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
    <w:nsid w:val="0A6F69C6"/>
    <w:multiLevelType w:val="multilevel"/>
    <w:tmpl w:val="B798DFFC"/>
    <w:lvl w:ilvl="0">
      <w:start w:val="1"/>
      <w:numFmt w:val="decimal"/>
      <w:lvlText w:val="%1."/>
      <w:lvlJc w:val="left"/>
      <w:pPr>
        <w:ind w:left="800" w:hanging="687"/>
      </w:pPr>
      <w:rPr>
        <w:rFonts w:hint="eastAsia"/>
      </w:rPr>
    </w:lvl>
    <w:lvl w:ilvl="1">
      <w:start w:val="1"/>
      <w:numFmt w:val="low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200" w:hanging="400"/>
      </w:pPr>
      <w:rPr>
        <w:rFonts w:hint="default"/>
      </w:rPr>
    </w:lvl>
    <w:lvl w:ilvl="4">
      <w:start w:val="1"/>
      <w:numFmt w:val="lowerLetter"/>
      <w:lvlText w:val="%5)"/>
      <w:lvlJc w:val="left"/>
      <w:pPr>
        <w:ind w:left="1400" w:hanging="400"/>
      </w:pPr>
      <w:rPr>
        <w:rFonts w:hint="eastAsia"/>
        <w:color w:val="auto"/>
      </w:rPr>
    </w:lvl>
    <w:lvl w:ilvl="5">
      <w:start w:val="1"/>
      <w:numFmt w:val="lowerRoman"/>
      <w:lvlText w:val="%6)"/>
      <w:lvlJc w:val="right"/>
      <w:pPr>
        <w:ind w:left="1600" w:hanging="400"/>
      </w:pPr>
      <w:rPr>
        <w:rFonts w:hint="eastAsia"/>
      </w:rPr>
    </w:lvl>
    <w:lvl w:ilvl="6">
      <w:start w:val="1"/>
      <w:numFmt w:val="decimalEnclosedCircle"/>
      <w:lvlText w:val="%7"/>
      <w:lvlJc w:val="left"/>
      <w:pPr>
        <w:ind w:left="1600" w:hanging="400"/>
      </w:pPr>
      <w:rPr>
        <w:rFonts w:hint="eastAsia"/>
      </w:rPr>
    </w:lvl>
    <w:lvl w:ilvl="7">
      <w:start w:val="1"/>
      <w:numFmt w:val="decimalZero"/>
      <w:lvlText w:val="%8."/>
      <w:lvlJc w:val="left"/>
      <w:pPr>
        <w:ind w:left="1800" w:hanging="400"/>
      </w:pPr>
      <w:rPr>
        <w:rFonts w:hint="eastAsia"/>
      </w:rPr>
    </w:lvl>
    <w:lvl w:ilvl="8">
      <w:start w:val="1"/>
      <mc:AlternateContent>
        <mc:Choice Requires="w14">
          <w:numFmt w:val="custom" w:format="001, 002, 003, ..."/>
        </mc:Choice>
        <mc:Fallback>
          <w:numFmt w:val="decimal"/>
        </mc:Fallback>
      </mc:AlternateContent>
      <w:lvlText w:val="%9."/>
      <w:lvlJc w:val="right"/>
      <w:pPr>
        <w:ind w:left="2200" w:hanging="400"/>
      </w:pPr>
      <w:rPr>
        <w:rFonts w:hint="eastAsia"/>
      </w:rPr>
    </w:lvl>
  </w:abstractNum>
  <w:abstractNum w:abstractNumId="3">
    <w:nsid w:val="16F60091"/>
    <w:multiLevelType w:val="hybridMultilevel"/>
    <w:tmpl w:val="59047458"/>
    <w:lvl w:ilvl="0" w:tplc="86980F6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1712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6">
    <w:nsid w:val="450E693B"/>
    <w:multiLevelType w:val="hybridMultilevel"/>
    <w:tmpl w:val="940654B8"/>
    <w:lvl w:ilvl="0" w:tplc="B4CA53B4">
      <w:start w:val="1"/>
      <w:numFmt w:val="lowerLetter"/>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30D5F92"/>
    <w:multiLevelType w:val="hybridMultilevel"/>
    <w:tmpl w:val="89F4F182"/>
    <w:lvl w:ilvl="0" w:tplc="856E35E2">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8D97419"/>
    <w:multiLevelType w:val="hybridMultilevel"/>
    <w:tmpl w:val="A9189E76"/>
    <w:lvl w:ilvl="0" w:tplc="3FC84DC4">
      <w:numFmt w:val="bullet"/>
      <w:lvlText w:val="-"/>
      <w:lvlJc w:val="left"/>
      <w:pPr>
        <w:ind w:left="1080" w:hanging="360"/>
      </w:pPr>
      <w:rPr>
        <w:rFonts w:ascii="맑은 고딕" w:eastAsia="맑은 고딕" w:hAnsi="맑은 고딕" w:cstheme="minorBidi" w:hint="eastAsia"/>
      </w:rPr>
    </w:lvl>
    <w:lvl w:ilvl="1" w:tplc="04090003" w:tentative="1">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7B7053FC"/>
    <w:multiLevelType w:val="hybridMultilevel"/>
    <w:tmpl w:val="F17CDECC"/>
    <w:lvl w:ilvl="0" w:tplc="676036C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2">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2"/>
  </w:num>
  <w:num w:numId="3">
    <w:abstractNumId w:val="4"/>
  </w:num>
  <w:num w:numId="4">
    <w:abstractNumId w:val="7"/>
  </w:num>
  <w:num w:numId="5">
    <w:abstractNumId w:val="6"/>
  </w:num>
  <w:num w:numId="6">
    <w:abstractNumId w:val="9"/>
  </w:num>
  <w:num w:numId="7">
    <w:abstractNumId w:val="1"/>
  </w:num>
  <w:num w:numId="8">
    <w:abstractNumId w:val="5"/>
  </w:num>
  <w:num w:numId="9">
    <w:abstractNumId w:val="2"/>
  </w:num>
  <w:num w:numId="10">
    <w:abstractNumId w:val="11"/>
  </w:num>
  <w:num w:numId="11">
    <w:abstractNumId w:val="3"/>
  </w:num>
  <w:num w:numId="12">
    <w:abstractNumId w:val="8"/>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6E9C"/>
    <w:rsid w:val="000A7E5E"/>
    <w:rsid w:val="000B0CD2"/>
    <w:rsid w:val="000B2537"/>
    <w:rsid w:val="000B489E"/>
    <w:rsid w:val="000B5215"/>
    <w:rsid w:val="000B5A10"/>
    <w:rsid w:val="000B5A5F"/>
    <w:rsid w:val="000C03CD"/>
    <w:rsid w:val="000C04A4"/>
    <w:rsid w:val="000C0D52"/>
    <w:rsid w:val="000C14C7"/>
    <w:rsid w:val="000C1783"/>
    <w:rsid w:val="000C192F"/>
    <w:rsid w:val="000C1E85"/>
    <w:rsid w:val="000C3AAC"/>
    <w:rsid w:val="000C4D98"/>
    <w:rsid w:val="000C6767"/>
    <w:rsid w:val="000C753C"/>
    <w:rsid w:val="000C7B00"/>
    <w:rsid w:val="000D1DC3"/>
    <w:rsid w:val="000D2081"/>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2E12"/>
    <w:rsid w:val="000F602D"/>
    <w:rsid w:val="000F6645"/>
    <w:rsid w:val="000F6AC5"/>
    <w:rsid w:val="000F70D4"/>
    <w:rsid w:val="000F7538"/>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6700"/>
    <w:rsid w:val="001B6A31"/>
    <w:rsid w:val="001C0F73"/>
    <w:rsid w:val="001C148A"/>
    <w:rsid w:val="001C2BC8"/>
    <w:rsid w:val="001C2FEC"/>
    <w:rsid w:val="001C50C8"/>
    <w:rsid w:val="001D11BE"/>
    <w:rsid w:val="001D19D3"/>
    <w:rsid w:val="001D1A3C"/>
    <w:rsid w:val="001D1B5D"/>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434"/>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A0"/>
    <w:rsid w:val="00220BE0"/>
    <w:rsid w:val="00221F0A"/>
    <w:rsid w:val="0022219A"/>
    <w:rsid w:val="00222974"/>
    <w:rsid w:val="00223260"/>
    <w:rsid w:val="0022545B"/>
    <w:rsid w:val="002270F7"/>
    <w:rsid w:val="002278DA"/>
    <w:rsid w:val="00230C61"/>
    <w:rsid w:val="0023149A"/>
    <w:rsid w:val="00232848"/>
    <w:rsid w:val="00232916"/>
    <w:rsid w:val="00234315"/>
    <w:rsid w:val="00234A62"/>
    <w:rsid w:val="00234EF9"/>
    <w:rsid w:val="002359E8"/>
    <w:rsid w:val="002367B7"/>
    <w:rsid w:val="00236DB9"/>
    <w:rsid w:val="0023791B"/>
    <w:rsid w:val="00237BB3"/>
    <w:rsid w:val="00240D40"/>
    <w:rsid w:val="00240DEC"/>
    <w:rsid w:val="00242450"/>
    <w:rsid w:val="002438B6"/>
    <w:rsid w:val="00244576"/>
    <w:rsid w:val="00244C7F"/>
    <w:rsid w:val="002452DA"/>
    <w:rsid w:val="00246086"/>
    <w:rsid w:val="0024616E"/>
    <w:rsid w:val="00247E5A"/>
    <w:rsid w:val="002500F0"/>
    <w:rsid w:val="00250E8F"/>
    <w:rsid w:val="00251001"/>
    <w:rsid w:val="00252523"/>
    <w:rsid w:val="00252A3D"/>
    <w:rsid w:val="00254405"/>
    <w:rsid w:val="00254558"/>
    <w:rsid w:val="002548E7"/>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D0BB3"/>
    <w:rsid w:val="002D2568"/>
    <w:rsid w:val="002D2BE4"/>
    <w:rsid w:val="002D2FF2"/>
    <w:rsid w:val="002D3894"/>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2F646D"/>
    <w:rsid w:val="002F78D4"/>
    <w:rsid w:val="00300545"/>
    <w:rsid w:val="0030199C"/>
    <w:rsid w:val="00301F44"/>
    <w:rsid w:val="0030301B"/>
    <w:rsid w:val="00303BDC"/>
    <w:rsid w:val="00304CA9"/>
    <w:rsid w:val="003069DE"/>
    <w:rsid w:val="0031195E"/>
    <w:rsid w:val="003122CB"/>
    <w:rsid w:val="00312374"/>
    <w:rsid w:val="00312472"/>
    <w:rsid w:val="003135F5"/>
    <w:rsid w:val="00314555"/>
    <w:rsid w:val="00315E63"/>
    <w:rsid w:val="00320586"/>
    <w:rsid w:val="00320DEB"/>
    <w:rsid w:val="00320EDD"/>
    <w:rsid w:val="00321C2D"/>
    <w:rsid w:val="0032371D"/>
    <w:rsid w:val="00324515"/>
    <w:rsid w:val="00324901"/>
    <w:rsid w:val="00326EF0"/>
    <w:rsid w:val="00330393"/>
    <w:rsid w:val="0033440B"/>
    <w:rsid w:val="003410E2"/>
    <w:rsid w:val="003414B6"/>
    <w:rsid w:val="0034370B"/>
    <w:rsid w:val="00345014"/>
    <w:rsid w:val="003453CF"/>
    <w:rsid w:val="00346B87"/>
    <w:rsid w:val="003507D0"/>
    <w:rsid w:val="003512C8"/>
    <w:rsid w:val="0035207E"/>
    <w:rsid w:val="003523D7"/>
    <w:rsid w:val="0035343D"/>
    <w:rsid w:val="0035367E"/>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5199"/>
    <w:rsid w:val="0037663C"/>
    <w:rsid w:val="00376BB1"/>
    <w:rsid w:val="0038326A"/>
    <w:rsid w:val="003837A2"/>
    <w:rsid w:val="00383817"/>
    <w:rsid w:val="00386427"/>
    <w:rsid w:val="003866C9"/>
    <w:rsid w:val="00387425"/>
    <w:rsid w:val="003877AE"/>
    <w:rsid w:val="00390D8B"/>
    <w:rsid w:val="00391956"/>
    <w:rsid w:val="00391C1F"/>
    <w:rsid w:val="00391FC8"/>
    <w:rsid w:val="00392F8A"/>
    <w:rsid w:val="00394568"/>
    <w:rsid w:val="00395D1B"/>
    <w:rsid w:val="00396188"/>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FC1"/>
    <w:rsid w:val="003D1331"/>
    <w:rsid w:val="003D1BB9"/>
    <w:rsid w:val="003D20F6"/>
    <w:rsid w:val="003D2127"/>
    <w:rsid w:val="003D21E2"/>
    <w:rsid w:val="003D2D12"/>
    <w:rsid w:val="003D3E74"/>
    <w:rsid w:val="003D4E34"/>
    <w:rsid w:val="003D6945"/>
    <w:rsid w:val="003D73F7"/>
    <w:rsid w:val="003D7F57"/>
    <w:rsid w:val="003E0DEA"/>
    <w:rsid w:val="003E16A9"/>
    <w:rsid w:val="003E25F2"/>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1710A"/>
    <w:rsid w:val="00420465"/>
    <w:rsid w:val="00420498"/>
    <w:rsid w:val="0042082A"/>
    <w:rsid w:val="00421BF7"/>
    <w:rsid w:val="0042237B"/>
    <w:rsid w:val="0042238F"/>
    <w:rsid w:val="004229B1"/>
    <w:rsid w:val="00423BD9"/>
    <w:rsid w:val="00425179"/>
    <w:rsid w:val="00425CFC"/>
    <w:rsid w:val="00427987"/>
    <w:rsid w:val="00430049"/>
    <w:rsid w:val="00435297"/>
    <w:rsid w:val="00435652"/>
    <w:rsid w:val="00436C63"/>
    <w:rsid w:val="00437718"/>
    <w:rsid w:val="00437778"/>
    <w:rsid w:val="00440D79"/>
    <w:rsid w:val="00442469"/>
    <w:rsid w:val="00444BB7"/>
    <w:rsid w:val="00445CA4"/>
    <w:rsid w:val="004463F2"/>
    <w:rsid w:val="004468FF"/>
    <w:rsid w:val="004511F4"/>
    <w:rsid w:val="00452F7A"/>
    <w:rsid w:val="004533F0"/>
    <w:rsid w:val="00453E26"/>
    <w:rsid w:val="00455921"/>
    <w:rsid w:val="00455F4D"/>
    <w:rsid w:val="00457F0B"/>
    <w:rsid w:val="004600E0"/>
    <w:rsid w:val="00460E53"/>
    <w:rsid w:val="004629CF"/>
    <w:rsid w:val="00462EF7"/>
    <w:rsid w:val="0046318A"/>
    <w:rsid w:val="00463610"/>
    <w:rsid w:val="00464414"/>
    <w:rsid w:val="00464841"/>
    <w:rsid w:val="0046543D"/>
    <w:rsid w:val="00467ACB"/>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45D7"/>
    <w:rsid w:val="004948BC"/>
    <w:rsid w:val="004950E3"/>
    <w:rsid w:val="00497221"/>
    <w:rsid w:val="00497E26"/>
    <w:rsid w:val="004A08C2"/>
    <w:rsid w:val="004A0E15"/>
    <w:rsid w:val="004A2152"/>
    <w:rsid w:val="004A218F"/>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5682"/>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2112"/>
    <w:rsid w:val="00503053"/>
    <w:rsid w:val="00503E1D"/>
    <w:rsid w:val="005041C4"/>
    <w:rsid w:val="005053ED"/>
    <w:rsid w:val="00505653"/>
    <w:rsid w:val="00505899"/>
    <w:rsid w:val="00505AEF"/>
    <w:rsid w:val="00506663"/>
    <w:rsid w:val="00506FC3"/>
    <w:rsid w:val="00510728"/>
    <w:rsid w:val="00511B0F"/>
    <w:rsid w:val="005120E9"/>
    <w:rsid w:val="00512255"/>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26ED5"/>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7FA"/>
    <w:rsid w:val="005738E6"/>
    <w:rsid w:val="00573C8B"/>
    <w:rsid w:val="00574F42"/>
    <w:rsid w:val="005753D2"/>
    <w:rsid w:val="00577400"/>
    <w:rsid w:val="00577CBA"/>
    <w:rsid w:val="005811BE"/>
    <w:rsid w:val="00581240"/>
    <w:rsid w:val="005835BD"/>
    <w:rsid w:val="00583913"/>
    <w:rsid w:val="00583FC3"/>
    <w:rsid w:val="00585A90"/>
    <w:rsid w:val="00587788"/>
    <w:rsid w:val="00587E5E"/>
    <w:rsid w:val="00587E65"/>
    <w:rsid w:val="00590478"/>
    <w:rsid w:val="005905B3"/>
    <w:rsid w:val="00590EF5"/>
    <w:rsid w:val="005910EF"/>
    <w:rsid w:val="0059244C"/>
    <w:rsid w:val="0059320B"/>
    <w:rsid w:val="00593C04"/>
    <w:rsid w:val="00594D61"/>
    <w:rsid w:val="005958CB"/>
    <w:rsid w:val="005969E5"/>
    <w:rsid w:val="005970BB"/>
    <w:rsid w:val="005A1420"/>
    <w:rsid w:val="005A14AB"/>
    <w:rsid w:val="005A1DFC"/>
    <w:rsid w:val="005A2E15"/>
    <w:rsid w:val="005A4757"/>
    <w:rsid w:val="005A580A"/>
    <w:rsid w:val="005A6A07"/>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4146"/>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6EC9"/>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758C"/>
    <w:rsid w:val="00690501"/>
    <w:rsid w:val="00691B92"/>
    <w:rsid w:val="006923B5"/>
    <w:rsid w:val="00694207"/>
    <w:rsid w:val="006949AE"/>
    <w:rsid w:val="00694EF6"/>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E93"/>
    <w:rsid w:val="006C44E0"/>
    <w:rsid w:val="006C474C"/>
    <w:rsid w:val="006C7DBF"/>
    <w:rsid w:val="006D1388"/>
    <w:rsid w:val="006D3154"/>
    <w:rsid w:val="006D7951"/>
    <w:rsid w:val="006E035B"/>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54ED"/>
    <w:rsid w:val="007355E2"/>
    <w:rsid w:val="00740E69"/>
    <w:rsid w:val="0074126C"/>
    <w:rsid w:val="007415AE"/>
    <w:rsid w:val="00744750"/>
    <w:rsid w:val="00745C47"/>
    <w:rsid w:val="00746CB8"/>
    <w:rsid w:val="00746DE0"/>
    <w:rsid w:val="0075071A"/>
    <w:rsid w:val="0075073F"/>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CEC"/>
    <w:rsid w:val="007E034F"/>
    <w:rsid w:val="007E1885"/>
    <w:rsid w:val="007E3529"/>
    <w:rsid w:val="007E5911"/>
    <w:rsid w:val="007E5E41"/>
    <w:rsid w:val="007E60CD"/>
    <w:rsid w:val="007E7093"/>
    <w:rsid w:val="007F02A3"/>
    <w:rsid w:val="007F0C14"/>
    <w:rsid w:val="007F3E48"/>
    <w:rsid w:val="007F45FC"/>
    <w:rsid w:val="007F4A66"/>
    <w:rsid w:val="007F4AEE"/>
    <w:rsid w:val="007F5276"/>
    <w:rsid w:val="007F6495"/>
    <w:rsid w:val="007F7655"/>
    <w:rsid w:val="007F7960"/>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5A2"/>
    <w:rsid w:val="00850E79"/>
    <w:rsid w:val="00851697"/>
    <w:rsid w:val="00852405"/>
    <w:rsid w:val="008527EC"/>
    <w:rsid w:val="008533D5"/>
    <w:rsid w:val="00854C8E"/>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252"/>
    <w:rsid w:val="00873B93"/>
    <w:rsid w:val="008745D3"/>
    <w:rsid w:val="00874811"/>
    <w:rsid w:val="008763E5"/>
    <w:rsid w:val="008770D5"/>
    <w:rsid w:val="0087755B"/>
    <w:rsid w:val="008778E7"/>
    <w:rsid w:val="0088031A"/>
    <w:rsid w:val="00880D2C"/>
    <w:rsid w:val="00881424"/>
    <w:rsid w:val="0088149B"/>
    <w:rsid w:val="00881B76"/>
    <w:rsid w:val="00882632"/>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51F"/>
    <w:rsid w:val="008A6914"/>
    <w:rsid w:val="008B0C9B"/>
    <w:rsid w:val="008B23B4"/>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1E46"/>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62F6"/>
    <w:rsid w:val="00957AA6"/>
    <w:rsid w:val="00961559"/>
    <w:rsid w:val="0096218D"/>
    <w:rsid w:val="00962534"/>
    <w:rsid w:val="00962B3E"/>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3CF0"/>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3F0D"/>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2DC2"/>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48FF"/>
    <w:rsid w:val="009F5ADC"/>
    <w:rsid w:val="009F5FF7"/>
    <w:rsid w:val="009F65C5"/>
    <w:rsid w:val="00A00C70"/>
    <w:rsid w:val="00A00DB6"/>
    <w:rsid w:val="00A02388"/>
    <w:rsid w:val="00A02DF4"/>
    <w:rsid w:val="00A04BBF"/>
    <w:rsid w:val="00A04F1C"/>
    <w:rsid w:val="00A05559"/>
    <w:rsid w:val="00A1081A"/>
    <w:rsid w:val="00A12CFE"/>
    <w:rsid w:val="00A14541"/>
    <w:rsid w:val="00A14D38"/>
    <w:rsid w:val="00A1548D"/>
    <w:rsid w:val="00A1693C"/>
    <w:rsid w:val="00A2002C"/>
    <w:rsid w:val="00A204C3"/>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479C8"/>
    <w:rsid w:val="00A50D56"/>
    <w:rsid w:val="00A50FB0"/>
    <w:rsid w:val="00A51C81"/>
    <w:rsid w:val="00A523FC"/>
    <w:rsid w:val="00A533F6"/>
    <w:rsid w:val="00A53F26"/>
    <w:rsid w:val="00A5483A"/>
    <w:rsid w:val="00A54C68"/>
    <w:rsid w:val="00A553FE"/>
    <w:rsid w:val="00A55801"/>
    <w:rsid w:val="00A56152"/>
    <w:rsid w:val="00A56D40"/>
    <w:rsid w:val="00A57FFB"/>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66A"/>
    <w:rsid w:val="00A73FF5"/>
    <w:rsid w:val="00A74889"/>
    <w:rsid w:val="00A751FE"/>
    <w:rsid w:val="00A75BBC"/>
    <w:rsid w:val="00A75D37"/>
    <w:rsid w:val="00A766FA"/>
    <w:rsid w:val="00A76A40"/>
    <w:rsid w:val="00A76B1C"/>
    <w:rsid w:val="00A7758C"/>
    <w:rsid w:val="00A80193"/>
    <w:rsid w:val="00A805D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9D"/>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3783"/>
    <w:rsid w:val="00B942F6"/>
    <w:rsid w:val="00B955D4"/>
    <w:rsid w:val="00B96537"/>
    <w:rsid w:val="00B96895"/>
    <w:rsid w:val="00BA0DB8"/>
    <w:rsid w:val="00BA1515"/>
    <w:rsid w:val="00BA1EDF"/>
    <w:rsid w:val="00BA2E7A"/>
    <w:rsid w:val="00BA322C"/>
    <w:rsid w:val="00BA35E0"/>
    <w:rsid w:val="00BA3907"/>
    <w:rsid w:val="00BA42C0"/>
    <w:rsid w:val="00BA4514"/>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4222"/>
    <w:rsid w:val="00BE4D60"/>
    <w:rsid w:val="00BE55BB"/>
    <w:rsid w:val="00BE5B4F"/>
    <w:rsid w:val="00BE6158"/>
    <w:rsid w:val="00BE70FB"/>
    <w:rsid w:val="00BE73BC"/>
    <w:rsid w:val="00BE794B"/>
    <w:rsid w:val="00BF0C84"/>
    <w:rsid w:val="00BF23DE"/>
    <w:rsid w:val="00BF471C"/>
    <w:rsid w:val="00BF4F4C"/>
    <w:rsid w:val="00BF689E"/>
    <w:rsid w:val="00BF737F"/>
    <w:rsid w:val="00C00092"/>
    <w:rsid w:val="00C009AD"/>
    <w:rsid w:val="00C00F8D"/>
    <w:rsid w:val="00C01038"/>
    <w:rsid w:val="00C01046"/>
    <w:rsid w:val="00C011EE"/>
    <w:rsid w:val="00C01E7E"/>
    <w:rsid w:val="00C034DC"/>
    <w:rsid w:val="00C038AA"/>
    <w:rsid w:val="00C03CD3"/>
    <w:rsid w:val="00C040C9"/>
    <w:rsid w:val="00C0675C"/>
    <w:rsid w:val="00C06990"/>
    <w:rsid w:val="00C0788A"/>
    <w:rsid w:val="00C07F24"/>
    <w:rsid w:val="00C11266"/>
    <w:rsid w:val="00C11598"/>
    <w:rsid w:val="00C158F2"/>
    <w:rsid w:val="00C17044"/>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4D0D"/>
    <w:rsid w:val="00C45251"/>
    <w:rsid w:val="00C46173"/>
    <w:rsid w:val="00C4717B"/>
    <w:rsid w:val="00C475D7"/>
    <w:rsid w:val="00C50AF7"/>
    <w:rsid w:val="00C5246A"/>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5A17"/>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1BD2"/>
    <w:rsid w:val="00CC24C5"/>
    <w:rsid w:val="00CC2AA9"/>
    <w:rsid w:val="00CC35FA"/>
    <w:rsid w:val="00CC4743"/>
    <w:rsid w:val="00CC5593"/>
    <w:rsid w:val="00CD01DB"/>
    <w:rsid w:val="00CD023A"/>
    <w:rsid w:val="00CD21BF"/>
    <w:rsid w:val="00CD220D"/>
    <w:rsid w:val="00CD234C"/>
    <w:rsid w:val="00CD2A4A"/>
    <w:rsid w:val="00CD3350"/>
    <w:rsid w:val="00CD50A1"/>
    <w:rsid w:val="00CD582F"/>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898"/>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43E"/>
    <w:rsid w:val="00D325CA"/>
    <w:rsid w:val="00D33109"/>
    <w:rsid w:val="00D335C9"/>
    <w:rsid w:val="00D346AE"/>
    <w:rsid w:val="00D37D5D"/>
    <w:rsid w:val="00D408DA"/>
    <w:rsid w:val="00D413B3"/>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BBB"/>
    <w:rsid w:val="00D70C2B"/>
    <w:rsid w:val="00D715E4"/>
    <w:rsid w:val="00D71653"/>
    <w:rsid w:val="00D72F91"/>
    <w:rsid w:val="00D732BD"/>
    <w:rsid w:val="00D73864"/>
    <w:rsid w:val="00D74A53"/>
    <w:rsid w:val="00D76298"/>
    <w:rsid w:val="00D762F9"/>
    <w:rsid w:val="00D818DB"/>
    <w:rsid w:val="00D82373"/>
    <w:rsid w:val="00D82D8C"/>
    <w:rsid w:val="00D82FB6"/>
    <w:rsid w:val="00D84FBC"/>
    <w:rsid w:val="00D85DFD"/>
    <w:rsid w:val="00D86818"/>
    <w:rsid w:val="00D87BA4"/>
    <w:rsid w:val="00D90333"/>
    <w:rsid w:val="00D917C1"/>
    <w:rsid w:val="00D91B4E"/>
    <w:rsid w:val="00D91EB5"/>
    <w:rsid w:val="00D92D10"/>
    <w:rsid w:val="00D92F30"/>
    <w:rsid w:val="00D93557"/>
    <w:rsid w:val="00D93D83"/>
    <w:rsid w:val="00D94A85"/>
    <w:rsid w:val="00D9580C"/>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645"/>
    <w:rsid w:val="00DC095E"/>
    <w:rsid w:val="00DC13B9"/>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6BA7"/>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13F"/>
    <w:rsid w:val="00E25903"/>
    <w:rsid w:val="00E25F9D"/>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3547E"/>
    <w:rsid w:val="00E36149"/>
    <w:rsid w:val="00E41161"/>
    <w:rsid w:val="00E4472A"/>
    <w:rsid w:val="00E4582A"/>
    <w:rsid w:val="00E46677"/>
    <w:rsid w:val="00E46C88"/>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323"/>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52DE"/>
    <w:rsid w:val="00EF5AA2"/>
    <w:rsid w:val="00EF61B1"/>
    <w:rsid w:val="00F002FE"/>
    <w:rsid w:val="00F010D8"/>
    <w:rsid w:val="00F01512"/>
    <w:rsid w:val="00F01C38"/>
    <w:rsid w:val="00F037FE"/>
    <w:rsid w:val="00F0381B"/>
    <w:rsid w:val="00F04513"/>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459"/>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6D61"/>
    <w:rsid w:val="00FA71A7"/>
    <w:rsid w:val="00FA7243"/>
    <w:rsid w:val="00FA72BC"/>
    <w:rsid w:val="00FA7520"/>
    <w:rsid w:val="00FA757B"/>
    <w:rsid w:val="00FA7D3A"/>
    <w:rsid w:val="00FB2A6A"/>
    <w:rsid w:val="00FB3BD3"/>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5A1DFC"/>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110FA-3C2B-4473-959B-B80338D73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1810</Words>
  <Characters>10318</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12104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cp:lastModifiedBy>
  <cp:revision>5</cp:revision>
  <dcterms:created xsi:type="dcterms:W3CDTF">2017-08-12T03:08:00Z</dcterms:created>
  <dcterms:modified xsi:type="dcterms:W3CDTF">2017-09-28T11:59:00Z</dcterms:modified>
</cp:coreProperties>
</file>